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20" w:lineRule="exact"/>
        <w:jc w:val="center"/>
        <w:rPr>
          <w:rFonts w:ascii="方正小标宋_GBK" w:hAnsi="方正小标宋_GBK" w:eastAsia="方正小标宋_GBK" w:cs="仿宋"/>
          <w:bCs/>
          <w:sz w:val="36"/>
          <w:szCs w:val="36"/>
        </w:rPr>
      </w:pPr>
      <w:r>
        <w:rPr>
          <w:rFonts w:hint="eastAsia" w:ascii="方正小标宋_GBK" w:hAnsi="方正小标宋_GBK" w:eastAsia="方正小标宋_GBK" w:cs="仿宋"/>
          <w:bCs/>
          <w:sz w:val="36"/>
          <w:szCs w:val="36"/>
        </w:rPr>
        <w:t>首都医科大学附属首都儿童医学中心</w:t>
      </w:r>
    </w:p>
    <w:p>
      <w:pPr>
        <w:snapToGrid w:val="0"/>
        <w:spacing w:line="520" w:lineRule="exact"/>
        <w:jc w:val="center"/>
        <w:rPr>
          <w:rFonts w:ascii="方正小标宋_GBK" w:hAnsi="方正小标宋_GBK" w:eastAsia="方正小标宋_GBK" w:cs="仿宋"/>
          <w:bCs/>
          <w:sz w:val="36"/>
          <w:szCs w:val="36"/>
        </w:rPr>
      </w:pPr>
      <w:r>
        <w:rPr>
          <w:rFonts w:hint="eastAsia" w:ascii="方正小标宋_GBK" w:hAnsi="方正小标宋_GBK" w:eastAsia="方正小标宋_GBK" w:cs="仿宋"/>
          <w:bCs/>
          <w:sz w:val="36"/>
          <w:szCs w:val="36"/>
        </w:rPr>
        <w:t>护理人员进修须知</w:t>
      </w:r>
    </w:p>
    <w:p>
      <w:pPr>
        <w:snapToGrid w:val="0"/>
        <w:spacing w:line="520" w:lineRule="exact"/>
        <w:rPr>
          <w:rFonts w:ascii="仿宋" w:hAnsi="仿宋" w:eastAsia="仿宋" w:cs="仿宋"/>
        </w:rPr>
      </w:pP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707" w:firstLineChars="221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一、进修形式与学制</w:t>
      </w:r>
    </w:p>
    <w:p>
      <w:pPr>
        <w:snapToGrid w:val="0"/>
        <w:spacing w:line="480" w:lineRule="exact"/>
        <w:ind w:firstLine="643" w:firstLineChars="200"/>
        <w:rPr>
          <w:rFonts w:hint="eastAsia" w:ascii="仿宋_GB2312" w:eastAsia="仿宋_GB2312"/>
          <w:b/>
          <w:color w:val="000000"/>
          <w:spacing w:val="-10"/>
          <w:sz w:val="32"/>
          <w:szCs w:val="32"/>
        </w:rPr>
      </w:pPr>
      <w:r>
        <w:rPr>
          <w:rFonts w:hint="eastAsia" w:ascii="楷体_GB2312" w:hAnsi="宋体" w:eastAsia="楷体_GB2312"/>
          <w:b/>
          <w:color w:val="000000"/>
          <w:sz w:val="32"/>
          <w:szCs w:val="32"/>
        </w:rPr>
        <w:t>（一）进修期限</w:t>
      </w:r>
    </w:p>
    <w:p>
      <w:pPr>
        <w:snapToGrid w:val="0"/>
        <w:spacing w:line="480" w:lineRule="exact"/>
        <w:ind w:firstLine="600" w:firstLineChars="200"/>
        <w:rPr>
          <w:rFonts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分为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6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个月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、3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个月、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短期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培训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或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参观。按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规定时间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在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同一专业完成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3个月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以上进修学习者，经考核合格，发放进修结业证书。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不足3个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月的短期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培训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或参观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，不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发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放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进修结业证书。</w:t>
      </w:r>
    </w:p>
    <w:p>
      <w:pPr>
        <w:snapToGrid w:val="0"/>
        <w:spacing w:line="480" w:lineRule="exact"/>
        <w:ind w:firstLine="643" w:firstLineChars="200"/>
        <w:rPr>
          <w:rFonts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楷体_GB2312" w:hAnsi="宋体" w:eastAsia="楷体_GB2312"/>
          <w:b/>
          <w:color w:val="000000"/>
          <w:sz w:val="32"/>
          <w:szCs w:val="32"/>
        </w:rPr>
        <w:t>（二）进修专业</w:t>
      </w:r>
    </w:p>
    <w:p>
      <w:pPr>
        <w:snapToGrid w:val="0"/>
        <w:spacing w:line="48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重症医学科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呼吸内科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、变态反应科（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含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肺功能室）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、消化内科、神经内科（癫痫中心及神经功能室）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普通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外科、新生儿外科、新生儿内科、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内分泌科、心血管内科（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心脏超声及心功能室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）、肾脏内科、血液内科、风湿免疫科、泌尿外科、胸部及肿瘤外科、心脏外科、血管瘤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及介入血管中心、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骨科、神经外科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麻醉科（病房手术室、门诊手术室和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麻醉恢复室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）、眼科、耳鼻喉科、口腔科、保健科、精神心理科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临床营养中心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皮肤科、放射科、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门诊治疗中心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感染科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急诊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科。</w:t>
      </w: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640" w:firstLineChars="200"/>
        <w:rPr>
          <w:rFonts w:ascii="黑体" w:hAnsi="黑体" w:eastAsia="黑体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color w:val="000000"/>
          <w:sz w:val="32"/>
          <w:szCs w:val="32"/>
        </w:rPr>
        <w:t>二、进修培训</w:t>
      </w:r>
      <w:r>
        <w:rPr>
          <w:rFonts w:ascii="黑体" w:hAnsi="黑体" w:eastAsia="黑体" w:cs="Times New Roman"/>
          <w:color w:val="000000"/>
          <w:sz w:val="32"/>
          <w:szCs w:val="32"/>
        </w:rPr>
        <w:t>内容</w:t>
      </w:r>
    </w:p>
    <w:p>
      <w:pPr>
        <w:snapToGrid w:val="0"/>
        <w:spacing w:line="480" w:lineRule="exact"/>
        <w:ind w:firstLine="643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1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在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科室主任、护士长的带领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和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带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教老师指导下，从事临床护理工作，参与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科室交班、查房、讲课或示教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，根据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科室需要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与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本院护士一同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参与值班，全面学习所选的专业疾病的护理理论知识及相关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护理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技术操作，提高自身对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该专业的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临床护理水平，增强对该专业疑难病症的临床护理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思路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及独立处理的能力，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根据进修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需求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有所侧重的学习相关专业知识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及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特殊仪器的使用等。</w:t>
      </w:r>
    </w:p>
    <w:p>
      <w:pPr>
        <w:snapToGrid w:val="0"/>
        <w:spacing w:line="480" w:lineRule="exact"/>
        <w:ind w:firstLine="643" w:firstLineChars="200"/>
        <w:rPr>
          <w:rFonts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2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短期培训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或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参观内容有参加临床护理工作观摩、手术观摩、门诊观摩及科室护士长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授权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下的其他护理或科研活动，可参与所选专业科室的护理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交班、查房、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病例讨论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疑难重症讨论、死亡病例讨论、术前讨论、院内会诊、门诊观摩等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工作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和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我院举办的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学术论坛、学术讲座、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继续教育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等培训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活动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。</w:t>
      </w:r>
    </w:p>
    <w:p>
      <w:pPr>
        <w:snapToGrid w:val="0"/>
        <w:spacing w:line="52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仿宋"/>
          <w:bCs/>
          <w:sz w:val="32"/>
          <w:szCs w:val="32"/>
        </w:rPr>
        <w:t>三</w:t>
      </w:r>
      <w:r>
        <w:rPr>
          <w:rFonts w:hint="eastAsia" w:ascii="仿宋" w:hAnsi="仿宋" w:eastAsia="仿宋" w:cs="仿宋"/>
          <w:bCs/>
          <w:sz w:val="32"/>
          <w:szCs w:val="32"/>
        </w:rPr>
        <w:t>、</w:t>
      </w:r>
      <w:r>
        <w:rPr>
          <w:rFonts w:hint="eastAsia" w:ascii="黑体" w:hAnsi="黑体" w:eastAsia="黑体" w:cs="黑体"/>
          <w:bCs/>
          <w:sz w:val="32"/>
          <w:szCs w:val="32"/>
        </w:rPr>
        <w:t>招生录取</w:t>
      </w:r>
    </w:p>
    <w:p>
      <w:pPr>
        <w:snapToGrid w:val="0"/>
        <w:spacing w:line="520" w:lineRule="exact"/>
        <w:ind w:firstLine="482" w:firstLineChars="150"/>
        <w:rPr>
          <w:rFonts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（一）人员资质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1.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具有护士执业资格。</w:t>
      </w:r>
    </w:p>
    <w:p>
      <w:pPr>
        <w:pStyle w:val="4"/>
        <w:shd w:val="clear" w:color="auto" w:fill="FFFFFF"/>
        <w:snapToGrid w:val="0"/>
        <w:spacing w:before="0" w:beforeAutospacing="0" w:after="0" w:afterAutospacing="0" w:line="480" w:lineRule="exact"/>
        <w:ind w:firstLine="707" w:firstLineChars="220"/>
        <w:jc w:val="both"/>
        <w:rPr>
          <w:rFonts w:ascii="仿宋_GB2312" w:hAnsi="Times New Roman" w:eastAsia="仿宋_GB2312" w:cs="Times New Roman"/>
          <w:color w:val="000000"/>
          <w:spacing w:val="-10"/>
          <w:kern w:val="2"/>
          <w:sz w:val="32"/>
          <w:szCs w:val="32"/>
        </w:rPr>
      </w:pPr>
      <w:r>
        <w:rPr>
          <w:rFonts w:ascii="仿宋_GB2312" w:eastAsia="仿宋_GB2312" w:cs="Times New Roman"/>
          <w:b/>
          <w:color w:val="000000"/>
          <w:kern w:val="2"/>
          <w:sz w:val="32"/>
          <w:szCs w:val="32"/>
        </w:rPr>
        <w:t>2</w:t>
      </w:r>
      <w:r>
        <w:rPr>
          <w:rFonts w:hint="eastAsia" w:ascii="仿宋_GB2312" w:eastAsia="仿宋_GB2312" w:cs="Times New Roman"/>
          <w:b/>
          <w:color w:val="000000"/>
          <w:kern w:val="2"/>
          <w:sz w:val="32"/>
          <w:szCs w:val="32"/>
        </w:rPr>
        <w:t>.</w:t>
      </w:r>
      <w:r>
        <w:rPr>
          <w:rFonts w:hint="eastAsia" w:ascii="仿宋_GB2312" w:hAnsi="Times New Roman" w:eastAsia="仿宋_GB2312" w:cs="Times New Roman"/>
          <w:color w:val="000000"/>
          <w:spacing w:val="-10"/>
          <w:kern w:val="2"/>
          <w:sz w:val="32"/>
          <w:szCs w:val="32"/>
        </w:rPr>
        <w:t>三级</w:t>
      </w:r>
      <w:r>
        <w:rPr>
          <w:rFonts w:ascii="仿宋_GB2312" w:hAnsi="Times New Roman" w:eastAsia="仿宋_GB2312" w:cs="Times New Roman"/>
          <w:color w:val="000000"/>
          <w:spacing w:val="-10"/>
          <w:kern w:val="2"/>
          <w:sz w:val="32"/>
          <w:szCs w:val="32"/>
        </w:rPr>
        <w:t>医院</w:t>
      </w:r>
      <w:r>
        <w:rPr>
          <w:rFonts w:hint="eastAsia" w:ascii="仿宋_GB2312" w:hAnsi="Times New Roman" w:eastAsia="仿宋_GB2312" w:cs="Times New Roman"/>
          <w:color w:val="000000"/>
          <w:spacing w:val="-10"/>
          <w:kern w:val="2"/>
          <w:sz w:val="32"/>
          <w:szCs w:val="32"/>
        </w:rPr>
        <w:t>护理人员需有从事本专业2年以上，二级医院3年以上，一级医院5年以上工作经验。</w:t>
      </w:r>
    </w:p>
    <w:p>
      <w:pPr>
        <w:pStyle w:val="4"/>
        <w:shd w:val="clear" w:color="auto" w:fill="FFFFFF"/>
        <w:snapToGrid w:val="0"/>
        <w:spacing w:before="0" w:beforeAutospacing="0" w:after="0" w:afterAutospacing="0" w:line="480" w:lineRule="exact"/>
        <w:ind w:firstLine="663" w:firstLineChars="220"/>
        <w:jc w:val="both"/>
        <w:rPr>
          <w:rFonts w:hint="eastAsia" w:ascii="仿宋_GB2312" w:hAnsi="Times New Roman" w:eastAsia="仿宋_GB2312" w:cs="Times New Roman"/>
          <w:color w:val="000000"/>
          <w:spacing w:val="-10"/>
          <w:kern w:val="2"/>
          <w:sz w:val="32"/>
          <w:szCs w:val="32"/>
        </w:rPr>
      </w:pPr>
      <w:r>
        <w:rPr>
          <w:rFonts w:hint="eastAsia" w:ascii="仿宋_GB2312" w:hAnsi="Times New Roman" w:eastAsia="仿宋_GB2312" w:cs="Times New Roman"/>
          <w:b/>
          <w:color w:val="000000"/>
          <w:spacing w:val="-10"/>
          <w:kern w:val="2"/>
          <w:sz w:val="32"/>
          <w:szCs w:val="32"/>
        </w:rPr>
        <w:t>3.</w:t>
      </w:r>
      <w:r>
        <w:rPr>
          <w:rFonts w:hint="eastAsia" w:ascii="仿宋_GB2312" w:hAnsi="Times New Roman" w:eastAsia="仿宋_GB2312" w:cs="Times New Roman"/>
          <w:color w:val="000000"/>
          <w:spacing w:val="-10"/>
          <w:kern w:val="2"/>
          <w:sz w:val="32"/>
          <w:szCs w:val="32"/>
        </w:rPr>
        <w:t>护理专业院校在职</w:t>
      </w:r>
      <w:r>
        <w:rPr>
          <w:rFonts w:ascii="仿宋_GB2312" w:hAnsi="Times New Roman" w:eastAsia="仿宋_GB2312" w:cs="Times New Roman"/>
          <w:color w:val="000000"/>
          <w:spacing w:val="-10"/>
          <w:kern w:val="2"/>
          <w:sz w:val="32"/>
          <w:szCs w:val="32"/>
        </w:rPr>
        <w:t>教师。</w:t>
      </w:r>
    </w:p>
    <w:p>
      <w:pPr>
        <w:snapToGrid w:val="0"/>
        <w:spacing w:line="520" w:lineRule="exact"/>
        <w:ind w:firstLine="482" w:firstLineChars="150"/>
        <w:rPr>
          <w:rFonts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（二）招生录取流程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666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b/>
          <w:bCs/>
          <w:color w:val="000000"/>
          <w:spacing w:val="-10"/>
          <w:sz w:val="32"/>
          <w:szCs w:val="32"/>
        </w:rPr>
        <w:t>1.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进修申请流程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07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仿宋" w:eastAsia="仿宋_GB2312"/>
          <w:color w:val="000000"/>
          <w:sz w:val="32"/>
          <w:szCs w:val="32"/>
        </w:rPr>
        <w:t>(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1)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申请进修人员到我院官方网站</w:t>
      </w:r>
      <w:r>
        <w:rPr>
          <w:rFonts w:hint="eastAsia" w:ascii="仿宋_GB2312" w:eastAsia="仿宋_GB2312"/>
          <w:spacing w:val="-10"/>
          <w:sz w:val="32"/>
          <w:szCs w:val="32"/>
        </w:rPr>
        <w:t>（</w:t>
      </w:r>
      <w:r>
        <w:rPr>
          <w:rFonts w:ascii="仿宋_GB2312" w:eastAsia="仿宋_GB2312"/>
          <w:spacing w:val="-10"/>
          <w:sz w:val="32"/>
          <w:szCs w:val="32"/>
        </w:rPr>
        <w:fldChar w:fldCharType="begin"/>
      </w:r>
      <w:r>
        <w:rPr>
          <w:rFonts w:ascii="仿宋_GB2312" w:eastAsia="仿宋_GB2312"/>
          <w:spacing w:val="-10"/>
          <w:sz w:val="32"/>
          <w:szCs w:val="32"/>
        </w:rPr>
        <w:instrText xml:space="preserve"> HYPERLINK "http://</w:instrText>
      </w:r>
      <w:r>
        <w:rPr>
          <w:rFonts w:hint="eastAsia" w:ascii="仿宋_GB2312" w:eastAsia="仿宋_GB2312"/>
          <w:spacing w:val="-10"/>
          <w:sz w:val="32"/>
          <w:szCs w:val="32"/>
        </w:rPr>
        <w:instrText xml:space="preserve">www</w:instrText>
      </w:r>
      <w:r>
        <w:rPr>
          <w:rFonts w:ascii="仿宋_GB2312" w:eastAsia="仿宋_GB2312"/>
          <w:spacing w:val="-10"/>
          <w:sz w:val="32"/>
          <w:szCs w:val="32"/>
        </w:rPr>
        <w:instrText xml:space="preserve">.shouer.com.cn" </w:instrText>
      </w:r>
      <w:r>
        <w:rPr>
          <w:rFonts w:ascii="仿宋_GB2312" w:eastAsia="仿宋_GB2312"/>
          <w:spacing w:val="-10"/>
          <w:sz w:val="32"/>
          <w:szCs w:val="32"/>
        </w:rPr>
        <w:fldChar w:fldCharType="separate"/>
      </w:r>
      <w:r>
        <w:rPr>
          <w:rStyle w:val="7"/>
          <w:rFonts w:hint="eastAsia" w:ascii="仿宋_GB2312" w:eastAsia="仿宋_GB2312"/>
          <w:color w:val="auto"/>
          <w:spacing w:val="-10"/>
          <w:sz w:val="32"/>
          <w:szCs w:val="32"/>
          <w:u w:val="none"/>
        </w:rPr>
        <w:t>www</w:t>
      </w:r>
      <w:r>
        <w:rPr>
          <w:rStyle w:val="7"/>
          <w:rFonts w:ascii="仿宋_GB2312" w:eastAsia="仿宋_GB2312"/>
          <w:color w:val="auto"/>
          <w:spacing w:val="-10"/>
          <w:sz w:val="32"/>
          <w:szCs w:val="32"/>
          <w:u w:val="none"/>
        </w:rPr>
        <w:t>.shouer.com.cn</w:t>
      </w:r>
      <w:r>
        <w:rPr>
          <w:rFonts w:ascii="仿宋_GB2312" w:eastAsia="仿宋_GB2312"/>
          <w:spacing w:val="-10"/>
          <w:sz w:val="32"/>
          <w:szCs w:val="32"/>
        </w:rPr>
        <w:fldChar w:fldCharType="end"/>
      </w:r>
      <w:r>
        <w:rPr>
          <w:rFonts w:hint="eastAsia" w:ascii="仿宋_GB2312" w:eastAsia="仿宋_GB2312"/>
          <w:spacing w:val="-10"/>
          <w:sz w:val="32"/>
          <w:szCs w:val="32"/>
        </w:rPr>
        <w:t>）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下载进修申请表或电话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咨询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(010-85695324)，按申请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说明逐项填写。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07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仿宋" w:eastAsia="仿宋_GB2312"/>
          <w:color w:val="000000"/>
          <w:sz w:val="32"/>
          <w:szCs w:val="32"/>
        </w:rPr>
        <w:t>(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2)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填写完整打印后，签署选派单位意见并加盖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主管职能部门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公章，将进修申请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、毕业证书、护士执业证书和职称证书的扫描件发至邮箱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hlb@shouer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.com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.cn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，邮件标题注明“单位-姓名-进修专业”。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07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仿宋" w:eastAsia="仿宋_GB2312"/>
          <w:color w:val="000000"/>
          <w:sz w:val="32"/>
          <w:szCs w:val="32"/>
          <w:lang w:val="zh-CN"/>
        </w:rPr>
        <w:t>(</w:t>
      </w:r>
      <w:r>
        <w:rPr>
          <w:rFonts w:hint="eastAsia" w:ascii="仿宋_GB2312" w:hAnsi="仿宋" w:eastAsia="仿宋_GB2312"/>
          <w:color w:val="000000"/>
          <w:sz w:val="32"/>
          <w:szCs w:val="32"/>
          <w:lang w:val="zh-CN"/>
        </w:rPr>
        <w:t>3</w:t>
      </w:r>
      <w:r>
        <w:rPr>
          <w:rFonts w:ascii="仿宋_GB2312" w:hAnsi="仿宋" w:eastAsia="仿宋_GB2312"/>
          <w:color w:val="000000"/>
          <w:sz w:val="32"/>
          <w:szCs w:val="32"/>
          <w:lang w:val="zh-CN"/>
        </w:rPr>
        <w:t>)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经我院审核同意后，将护理人员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进修报到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通知书以邮件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的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形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式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发至进修人员所在单位。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643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2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与我院签署合作协议或对口支援单位优先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录取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。</w:t>
      </w:r>
    </w:p>
    <w:p>
      <w:pPr>
        <w:snapToGrid w:val="0"/>
        <w:spacing w:line="520" w:lineRule="exact"/>
        <w:ind w:firstLine="643" w:firstLineChars="200"/>
        <w:rPr>
          <w:rFonts w:ascii="仿宋_GB2312" w:hAnsi="宋体" w:eastAsia="仿宋_GB2312"/>
          <w:b/>
          <w:color w:val="00000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3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进修报到流程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eastAsia="仿宋_GB2312"/>
          <w:color w:val="000000"/>
          <w:spacing w:val="-10"/>
          <w:sz w:val="32"/>
          <w:szCs w:val="32"/>
        </w:rPr>
        <w:t>(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1)进修护士携本人身份证、单位介绍信、本人签字单位盖章后的进修申请表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护士执业证书原件及复印件，在指定日期到护理部办理进修报到手续。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(2)</w:t>
      </w:r>
      <w:r>
        <w:rPr>
          <w:rFonts w:hint="eastAsia" w:ascii="仿宋_GB2312" w:hAnsi="仿宋" w:eastAsia="仿宋_GB2312"/>
          <w:color w:val="000000"/>
          <w:sz w:val="32"/>
          <w:szCs w:val="32"/>
          <w:lang w:val="zh-CN"/>
        </w:rPr>
        <w:t>报到</w:t>
      </w:r>
      <w:r>
        <w:rPr>
          <w:rFonts w:ascii="仿宋_GB2312" w:hAnsi="仿宋" w:eastAsia="仿宋_GB2312"/>
          <w:color w:val="000000"/>
          <w:sz w:val="32"/>
          <w:szCs w:val="32"/>
          <w:lang w:val="zh-CN"/>
        </w:rPr>
        <w:t>前</w:t>
      </w:r>
      <w:r>
        <w:rPr>
          <w:rFonts w:hint="eastAsia" w:ascii="仿宋_GB2312" w:hAnsi="仿宋" w:eastAsia="仿宋_GB2312"/>
          <w:color w:val="000000"/>
          <w:sz w:val="32"/>
          <w:szCs w:val="32"/>
          <w:lang w:val="zh-CN"/>
        </w:rPr>
        <w:t>通过</w:t>
      </w:r>
      <w:r>
        <w:rPr>
          <w:rFonts w:ascii="仿宋_GB2312" w:hAnsi="仿宋" w:eastAsia="仿宋_GB2312"/>
          <w:color w:val="000000"/>
          <w:sz w:val="32"/>
          <w:szCs w:val="32"/>
          <w:lang w:val="zh-CN"/>
        </w:rPr>
        <w:t>转账形式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缴纳进修费到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医院指定账户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。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(3)办理饭卡事宜。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(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4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)如有特殊原因不能准时报到者，请务必提前电话联系，我院护理部电话（010-85695324），逾期三天不来者，不予保留名额，自行换人不予办理。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其他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注意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事项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：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1)进修期间交通、食宿自理。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2)报到当日请携带选派医院工作服（护士服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鞋、1张二寸蓝底免冠照片）。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3)护理部位于首都医科大学附属首都儿童医学中心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儿保楼10层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1039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室。</w:t>
      </w:r>
    </w:p>
    <w:p>
      <w:pPr>
        <w:snapToGrid w:val="0"/>
        <w:spacing w:line="520" w:lineRule="exact"/>
        <w:ind w:firstLine="600" w:firstLineChars="200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4)医院地址：北京市朝阳区雅宝路2号（标志性建筑日坛公园西门），邮编：100020。</w:t>
      </w: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640" w:firstLineChars="200"/>
        <w:rPr>
          <w:rFonts w:ascii="黑体" w:hAnsi="宋体" w:eastAsia="黑体"/>
          <w:color w:val="000000"/>
          <w:sz w:val="32"/>
          <w:szCs w:val="32"/>
        </w:rPr>
      </w:pPr>
      <w:r>
        <w:rPr>
          <w:rFonts w:hint="eastAsia" w:ascii="黑体" w:hAnsi="宋体" w:eastAsia="黑体"/>
          <w:color w:val="000000"/>
          <w:sz w:val="32"/>
          <w:szCs w:val="32"/>
        </w:rPr>
        <w:t>四、进修</w:t>
      </w:r>
      <w:r>
        <w:rPr>
          <w:rFonts w:ascii="黑体" w:hAnsi="宋体" w:eastAsia="黑体"/>
          <w:color w:val="000000"/>
          <w:sz w:val="32"/>
          <w:szCs w:val="32"/>
        </w:rPr>
        <w:t>期间管理</w:t>
      </w:r>
    </w:p>
    <w:p>
      <w:pPr>
        <w:snapToGrid w:val="0"/>
        <w:spacing w:line="520" w:lineRule="exact"/>
        <w:ind w:firstLine="321" w:firstLineChars="100"/>
        <w:rPr>
          <w:rFonts w:ascii="仿宋" w:hAnsi="仿宋" w:eastAsia="仿宋" w:cs="仿宋"/>
          <w:color w:val="FF0000"/>
          <w:spacing w:val="-10"/>
          <w:sz w:val="32"/>
          <w:szCs w:val="32"/>
        </w:rPr>
      </w:pPr>
      <w:r>
        <w:rPr>
          <w:rFonts w:hint="eastAsia" w:ascii="楷体_GB2312" w:hAnsi="宋体" w:eastAsia="楷体_GB2312"/>
          <w:b/>
          <w:color w:val="000000"/>
          <w:sz w:val="32"/>
          <w:szCs w:val="32"/>
        </w:rPr>
        <w:t>（一）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进修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护士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进修期间由护理部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和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所在专业科室共同管理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。</w:t>
      </w: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321" w:firstLineChars="100"/>
        <w:rPr>
          <w:rFonts w:ascii="楷体_GB2312" w:hAnsi="宋体" w:eastAsia="楷体_GB2312"/>
          <w:b/>
          <w:color w:val="000000"/>
          <w:sz w:val="32"/>
          <w:szCs w:val="32"/>
        </w:rPr>
      </w:pPr>
      <w:r>
        <w:rPr>
          <w:rFonts w:hint="eastAsia" w:ascii="楷体_GB2312" w:hAnsi="宋体" w:eastAsia="楷体_GB2312"/>
          <w:b/>
          <w:color w:val="000000"/>
          <w:sz w:val="32"/>
          <w:szCs w:val="32"/>
        </w:rPr>
        <w:t>（二）科间</w:t>
      </w:r>
      <w:r>
        <w:rPr>
          <w:rFonts w:ascii="楷体_GB2312" w:hAnsi="宋体" w:eastAsia="楷体_GB2312"/>
          <w:b/>
          <w:color w:val="000000"/>
          <w:sz w:val="32"/>
          <w:szCs w:val="32"/>
        </w:rPr>
        <w:t>轮转</w:t>
      </w: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710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1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进修期间不得随意变更科室及进修时间。</w:t>
      </w: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710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2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进修时间在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6个月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以上者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，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可选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择多个专业进修培训，由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护理部安排轮转。</w:t>
      </w: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321" w:firstLineChars="100"/>
        <w:rPr>
          <w:rFonts w:ascii="楷体_GB2312" w:hAnsi="宋体" w:eastAsia="楷体_GB2312"/>
          <w:b/>
          <w:color w:val="000000"/>
          <w:sz w:val="32"/>
          <w:szCs w:val="32"/>
        </w:rPr>
      </w:pPr>
      <w:r>
        <w:rPr>
          <w:rFonts w:hint="eastAsia" w:ascii="楷体_GB2312" w:hAnsi="宋体" w:eastAsia="楷体_GB2312"/>
          <w:b/>
          <w:color w:val="000000"/>
          <w:sz w:val="32"/>
          <w:szCs w:val="32"/>
        </w:rPr>
        <w:t>（三）进修期间</w:t>
      </w:r>
      <w:r>
        <w:rPr>
          <w:rFonts w:ascii="楷体_GB2312" w:hAnsi="宋体" w:eastAsia="楷体_GB2312"/>
          <w:b/>
          <w:color w:val="000000"/>
          <w:sz w:val="32"/>
          <w:szCs w:val="32"/>
        </w:rPr>
        <w:t>考核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1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进修护士需严格遵守医院规章制度和操作规程，并定期接受带教老师及护士长的考核。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2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护士进修期间由临床教师带教，进修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1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个月后，根据本人业务技术掌握程度进行相关考核，考核合格后在临床护理教师的带领下可参加护理工作。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3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护士进修期满，提前1周到护理部领取进修考核表填写，并由带教老师考核填写鉴定，科室护士长及总护士长审核并签字，交护理部盖章后方视为有效。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4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进修时间满3个月及以上者，需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在进修科室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以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PPT形式汇报进修情况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，考核合格，发放结业证。</w:t>
      </w: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321" w:firstLineChars="100"/>
        <w:rPr>
          <w:rFonts w:ascii="楷体_GB2312" w:hAnsi="宋体" w:eastAsia="楷体_GB2312"/>
          <w:b/>
          <w:color w:val="000000"/>
          <w:sz w:val="32"/>
          <w:szCs w:val="32"/>
        </w:rPr>
      </w:pPr>
      <w:r>
        <w:rPr>
          <w:rFonts w:hint="eastAsia" w:ascii="楷体_GB2312" w:hAnsi="宋体" w:eastAsia="楷体_GB2312"/>
          <w:b/>
          <w:color w:val="000000"/>
          <w:sz w:val="32"/>
          <w:szCs w:val="32"/>
        </w:rPr>
        <w:t>（四）考勤纪律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1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进修期间不安排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考试假、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探亲假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特殊情况请事假时，需由选派单位出示证明、注明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返回日期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并加盖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主管职能部门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公章；病假须提供二级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及以上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医院的诊断证明；累计请假1周以上，进修时间顺延，极特殊情况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最晚在本次进修期内返回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lang w:val="en-US" w:eastAsia="zh-CN"/>
        </w:rPr>
        <w:t>无故脱岗或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逾期未返回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的视为自动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终止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进修，进修费用不退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还。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2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为保证进修质量，本院进修不接收怀孕或哺乳期护士。如果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进修期间发现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怀孕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，暂停进修，保留进修资格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不超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过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2年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3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进修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期间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服从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科室工作安排，参加理论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知识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讲座及业务查房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时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，不得影响科室日常工作。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hint="eastAsia" w:ascii="仿宋_GB2312" w:eastAsia="仿宋_GB2312"/>
          <w:color w:val="000000"/>
          <w:spacing w:val="-10"/>
          <w:sz w:val="32"/>
          <w:szCs w:val="32"/>
        </w:rPr>
      </w:pPr>
      <w:r>
        <w:rPr>
          <w:rFonts w:ascii="仿宋_GB2312" w:hAnsi="宋体" w:eastAsia="仿宋_GB2312"/>
          <w:b/>
          <w:color w:val="000000"/>
          <w:sz w:val="32"/>
          <w:szCs w:val="32"/>
        </w:rPr>
        <w:t>4</w:t>
      </w:r>
      <w:r>
        <w:rPr>
          <w:rFonts w:hint="eastAsia" w:ascii="仿宋_GB2312" w:hAnsi="宋体" w:eastAsia="仿宋_GB2312"/>
          <w:b/>
          <w:color w:val="000000"/>
          <w:sz w:val="32"/>
          <w:szCs w:val="32"/>
        </w:rPr>
        <w:t>.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不遵守医院相关制度、发生不良事件以及不服从管理的进修护士，科室护士长可给予相应告诫或提出辞退，上报护理部，护理部负责联系原单位并终止进修学习，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进修费用</w:t>
      </w:r>
      <w:r>
        <w:rPr>
          <w:rFonts w:hint="eastAsia" w:ascii="仿宋_GB2312" w:eastAsia="仿宋_GB2312"/>
          <w:color w:val="000000"/>
          <w:spacing w:val="-10"/>
          <w:sz w:val="32"/>
          <w:szCs w:val="32"/>
        </w:rPr>
        <w:t>不退还，</w:t>
      </w:r>
      <w:r>
        <w:rPr>
          <w:rFonts w:ascii="仿宋_GB2312" w:eastAsia="仿宋_GB2312"/>
          <w:color w:val="000000"/>
          <w:spacing w:val="-10"/>
          <w:sz w:val="32"/>
          <w:szCs w:val="32"/>
        </w:rPr>
        <w:t>不予发放进修结业证书或进修证明。</w:t>
      </w:r>
    </w:p>
    <w:p>
      <w:pPr>
        <w:overflowPunct w:val="0"/>
        <w:autoSpaceDE w:val="0"/>
        <w:autoSpaceDN w:val="0"/>
        <w:adjustRightInd w:val="0"/>
        <w:snapToGrid w:val="0"/>
        <w:spacing w:line="520" w:lineRule="exact"/>
        <w:ind w:firstLine="640" w:firstLineChars="200"/>
        <w:rPr>
          <w:rFonts w:ascii="黑体" w:hAnsi="宋体" w:eastAsia="黑体"/>
          <w:color w:val="000000"/>
          <w:sz w:val="32"/>
          <w:szCs w:val="32"/>
        </w:rPr>
      </w:pPr>
      <w:r>
        <w:rPr>
          <w:rFonts w:hint="eastAsia" w:ascii="黑体" w:hAnsi="宋体" w:eastAsia="黑体"/>
          <w:color w:val="000000"/>
          <w:sz w:val="32"/>
          <w:szCs w:val="32"/>
        </w:rPr>
        <w:t>五、进修费用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710" w:firstLineChars="221"/>
        <w:rPr>
          <w:rFonts w:hint="eastAsia" w:ascii="仿宋_GB2312" w:eastAsia="仿宋_GB2312"/>
          <w:color w:val="000000"/>
          <w:spacing w:val="-10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宋体" w:eastAsia="楷体_GB2312"/>
          <w:b/>
          <w:color w:val="000000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highlight w:val="none"/>
          <w:lang w:val="en-US" w:eastAsia="zh-CN"/>
        </w:rPr>
        <w:t>重点专科收费标准1200元/月，包括重症医学科、呼吸内科、普通外科及新生儿外科、变态反应科、保健科、临床营养中心。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666" w:firstLineChars="221"/>
        <w:rPr>
          <w:rFonts w:hint="eastAsia" w:ascii="仿宋_GB2312" w:eastAsia="仿宋_GB2312"/>
          <w:color w:val="000000"/>
          <w:spacing w:val="-1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/>
          <w:bCs/>
          <w:color w:val="000000"/>
          <w:spacing w:val="-10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eastAsia="仿宋_GB2312"/>
          <w:color w:val="000000"/>
          <w:spacing w:val="-10"/>
          <w:sz w:val="32"/>
          <w:szCs w:val="32"/>
          <w:highlight w:val="none"/>
          <w:lang w:val="en-US" w:eastAsia="zh-CN"/>
        </w:rPr>
        <w:t>其他专科收费标准1000元/月。</w:t>
      </w:r>
    </w:p>
    <w:p>
      <w:pPr>
        <w:overflowPunct w:val="0"/>
        <w:autoSpaceDE w:val="0"/>
        <w:autoSpaceDN w:val="0"/>
        <w:adjustRightInd w:val="0"/>
        <w:snapToGrid w:val="0"/>
        <w:spacing w:line="480" w:lineRule="exact"/>
        <w:ind w:firstLine="666" w:firstLineChars="221"/>
        <w:rPr>
          <w:rFonts w:hint="default" w:ascii="仿宋_GB2312" w:eastAsia="仿宋_GB2312"/>
          <w:color w:val="000000"/>
          <w:spacing w:val="-1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eastAsia="仿宋_GB2312"/>
          <w:b/>
          <w:bCs/>
          <w:color w:val="000000"/>
          <w:spacing w:val="-10"/>
          <w:sz w:val="32"/>
          <w:szCs w:val="32"/>
          <w:highlight w:val="none"/>
          <w:lang w:val="en-US" w:eastAsia="zh-CN"/>
        </w:rPr>
        <w:t>3.</w:t>
      </w:r>
      <w:bookmarkStart w:id="0" w:name="_GoBack"/>
      <w:bookmarkEnd w:id="0"/>
      <w:r>
        <w:rPr>
          <w:rFonts w:hint="eastAsia" w:ascii="仿宋_GB2312" w:eastAsia="仿宋_GB2312"/>
          <w:color w:val="000000"/>
          <w:spacing w:val="-10"/>
          <w:sz w:val="32"/>
          <w:szCs w:val="32"/>
          <w:highlight w:val="none"/>
          <w:lang w:val="en-US" w:eastAsia="zh-CN"/>
        </w:rPr>
        <w:t>费用标准如有调整，按照当年医院规定执行。</w:t>
      </w:r>
    </w:p>
    <w:p>
      <w:pPr>
        <w:snapToGrid w:val="0"/>
        <w:spacing w:line="520" w:lineRule="exact"/>
        <w:rPr>
          <w:rFonts w:hint="eastAsia"/>
        </w:rPr>
      </w:pPr>
    </w:p>
    <w:p>
      <w:pPr>
        <w:snapToGrid w:val="0"/>
        <w:spacing w:line="520" w:lineRule="exact"/>
        <w:rPr>
          <w:rFonts w:hint="eastAsia"/>
        </w:rPr>
      </w:pPr>
    </w:p>
    <w:p>
      <w:pPr>
        <w:snapToGrid w:val="0"/>
        <w:spacing w:line="520" w:lineRule="exact"/>
        <w:rPr>
          <w:rFonts w:hint="eastAsia"/>
        </w:rPr>
      </w:pPr>
    </w:p>
    <w:p>
      <w:pPr>
        <w:snapToGrid w:val="0"/>
        <w:spacing w:line="520" w:lineRule="exact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2ED"/>
    <w:rsid w:val="00135D0C"/>
    <w:rsid w:val="001D5A44"/>
    <w:rsid w:val="002B01E5"/>
    <w:rsid w:val="002F6253"/>
    <w:rsid w:val="00347ED4"/>
    <w:rsid w:val="00415370"/>
    <w:rsid w:val="00435DFE"/>
    <w:rsid w:val="004A41B4"/>
    <w:rsid w:val="004E6298"/>
    <w:rsid w:val="0058004B"/>
    <w:rsid w:val="00587092"/>
    <w:rsid w:val="005918BE"/>
    <w:rsid w:val="005B3FB2"/>
    <w:rsid w:val="006307F6"/>
    <w:rsid w:val="006972ED"/>
    <w:rsid w:val="00836E5A"/>
    <w:rsid w:val="008D755D"/>
    <w:rsid w:val="00984E51"/>
    <w:rsid w:val="009B5A1A"/>
    <w:rsid w:val="00A5262B"/>
    <w:rsid w:val="00A9634F"/>
    <w:rsid w:val="00AF3002"/>
    <w:rsid w:val="00C0660C"/>
    <w:rsid w:val="00C64B82"/>
    <w:rsid w:val="00C712FA"/>
    <w:rsid w:val="00CC0D57"/>
    <w:rsid w:val="00D61110"/>
    <w:rsid w:val="00D62DFA"/>
    <w:rsid w:val="00DB5A9D"/>
    <w:rsid w:val="00DC345E"/>
    <w:rsid w:val="00E67397"/>
    <w:rsid w:val="00E73882"/>
    <w:rsid w:val="00EB0CB1"/>
    <w:rsid w:val="00F13D54"/>
    <w:rsid w:val="00F36DDD"/>
    <w:rsid w:val="00F80D4A"/>
    <w:rsid w:val="03EC5169"/>
    <w:rsid w:val="0C852AF0"/>
    <w:rsid w:val="0DB0091F"/>
    <w:rsid w:val="19573231"/>
    <w:rsid w:val="1C8948A7"/>
    <w:rsid w:val="1F057ED0"/>
    <w:rsid w:val="441A73DC"/>
    <w:rsid w:val="4BD86040"/>
    <w:rsid w:val="4D0C270D"/>
    <w:rsid w:val="4E876E29"/>
    <w:rsid w:val="510853EB"/>
    <w:rsid w:val="5F91385F"/>
    <w:rsid w:val="67FF16EE"/>
    <w:rsid w:val="70DF36E4"/>
    <w:rsid w:val="7C01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419</Words>
  <Characters>2391</Characters>
  <Lines>19</Lines>
  <Paragraphs>5</Paragraphs>
  <TotalTime>86</TotalTime>
  <ScaleCrop>false</ScaleCrop>
  <LinksUpToDate>false</LinksUpToDate>
  <CharactersWithSpaces>2805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2020-02-21T08:13:00Z</dcterms:created>
  <dc:creator>Microsoft</dc:creator>
  <cp:lastModifiedBy>admin</cp:lastModifiedBy>
  <dcterms:modified xsi:type="dcterms:W3CDTF">2025-09-04T03:20:36Z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