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outlineLvl w:val="0"/>
        <w:rPr>
          <w:b/>
          <w:sz w:val="36"/>
          <w:szCs w:val="36"/>
        </w:rPr>
      </w:pPr>
      <w:bookmarkStart w:id="0" w:name="_Toc200123571"/>
      <w:r>
        <w:rPr>
          <w:b/>
          <w:sz w:val="36"/>
          <w:szCs w:val="36"/>
        </w:rPr>
        <w:t>采购需求</w:t>
      </w:r>
      <w:bookmarkEnd w:id="0"/>
    </w:p>
    <w:p>
      <w:pPr>
        <w:tabs>
          <w:tab w:val="left" w:pos="1050"/>
        </w:tabs>
        <w:autoSpaceDE/>
        <w:autoSpaceDN/>
        <w:spacing w:after="0"/>
        <w:rPr>
          <w:rFonts w:ascii="Times New Roman" w:hAnsi="Times New Roman"/>
        </w:rPr>
      </w:pPr>
      <w:r>
        <w:rPr>
          <w:rFonts w:hint="eastAsia" w:ascii="Times New Roman" w:hAnsi="Times New Roman"/>
        </w:rPr>
        <w:t>1</w:t>
      </w:r>
      <w:r>
        <w:rPr>
          <w:rFonts w:ascii="Times New Roman" w:hAnsi="Times New Roman"/>
        </w:rPr>
        <w:t xml:space="preserve">. </w:t>
      </w:r>
      <w:r>
        <w:rPr>
          <w:rFonts w:hint="eastAsia" w:ascii="Times New Roman" w:hAnsi="Times New Roman"/>
        </w:rPr>
        <w:t>需求一览表</w:t>
      </w:r>
    </w:p>
    <w:tbl>
      <w:tblPr>
        <w:tblStyle w:val="15"/>
        <w:tblW w:w="8926" w:type="dxa"/>
        <w:jc w:val="center"/>
        <w:tblLayout w:type="autofit"/>
        <w:tblCellMar>
          <w:top w:w="0" w:type="dxa"/>
          <w:left w:w="108" w:type="dxa"/>
          <w:bottom w:w="0" w:type="dxa"/>
          <w:right w:w="108" w:type="dxa"/>
        </w:tblCellMar>
      </w:tblPr>
      <w:tblGrid>
        <w:gridCol w:w="704"/>
        <w:gridCol w:w="709"/>
        <w:gridCol w:w="2693"/>
        <w:gridCol w:w="1701"/>
        <w:gridCol w:w="851"/>
        <w:gridCol w:w="850"/>
        <w:gridCol w:w="1418"/>
      </w:tblGrid>
      <w:tr>
        <w:tblPrEx>
          <w:tblCellMar>
            <w:top w:w="0" w:type="dxa"/>
            <w:left w:w="108" w:type="dxa"/>
            <w:bottom w:w="0" w:type="dxa"/>
            <w:right w:w="108" w:type="dxa"/>
          </w:tblCellMar>
        </w:tblPrEx>
        <w:trPr>
          <w:trHeight w:val="104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color w:val="000000"/>
                <w:szCs w:val="24"/>
              </w:rPr>
            </w:pPr>
            <w:r>
              <w:rPr>
                <w:rFonts w:ascii="Times New Roman" w:hAnsi="Times New Roman"/>
                <w:b/>
                <w:bCs/>
                <w:color w:val="000000"/>
                <w:szCs w:val="24"/>
              </w:rPr>
              <w:t>包号</w:t>
            </w:r>
          </w:p>
        </w:tc>
        <w:tc>
          <w:tcPr>
            <w:tcW w:w="709"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品目</w:t>
            </w:r>
          </w:p>
        </w:tc>
        <w:tc>
          <w:tcPr>
            <w:tcW w:w="2693"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标的名称</w:t>
            </w:r>
          </w:p>
        </w:tc>
        <w:tc>
          <w:tcPr>
            <w:tcW w:w="1701"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规格</w:t>
            </w:r>
          </w:p>
        </w:tc>
        <w:tc>
          <w:tcPr>
            <w:tcW w:w="851"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单位</w:t>
            </w:r>
          </w:p>
        </w:tc>
        <w:tc>
          <w:tcPr>
            <w:tcW w:w="850"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数量</w:t>
            </w:r>
          </w:p>
        </w:tc>
        <w:tc>
          <w:tcPr>
            <w:tcW w:w="1418"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color w:val="000000"/>
                <w:szCs w:val="24"/>
              </w:rPr>
            </w:pPr>
            <w:r>
              <w:rPr>
                <w:rFonts w:ascii="Times New Roman" w:hAnsi="Times New Roman"/>
                <w:b/>
                <w:bCs/>
                <w:color w:val="000000"/>
                <w:szCs w:val="24"/>
              </w:rPr>
              <w:t>是否接受进口产品投标</w:t>
            </w:r>
          </w:p>
        </w:tc>
      </w:tr>
      <w:tr>
        <w:tblPrEx>
          <w:tblCellMar>
            <w:top w:w="0" w:type="dxa"/>
            <w:left w:w="108" w:type="dxa"/>
            <w:bottom w:w="0" w:type="dxa"/>
            <w:right w:w="108" w:type="dxa"/>
          </w:tblCellMar>
        </w:tblPrEx>
        <w:trPr>
          <w:trHeight w:val="312" w:hRule="atLeast"/>
          <w:jc w:val="center"/>
        </w:trPr>
        <w:tc>
          <w:tcPr>
            <w:tcW w:w="704" w:type="dxa"/>
            <w:vMerge w:val="restart"/>
            <w:tcBorders>
              <w:top w:val="nil"/>
              <w:left w:val="single" w:color="auto" w:sz="4" w:space="0"/>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Blood RNA Kit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w:t>
            </w:r>
            <w:r>
              <w:rPr>
                <w:rFonts w:hint="eastAsia" w:ascii="Times New Roman" w:hAnsi="Times New Roman"/>
                <w:szCs w:val="24"/>
              </w:rPr>
              <w:t>/</w:t>
            </w:r>
            <w:r>
              <w:rPr>
                <w:rFonts w:ascii="Times New Roman" w:hAnsi="Times New Roman"/>
                <w:szCs w:val="24"/>
              </w:rPr>
              <w: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0.5ml离心管</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1.5ml离心管</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10ml移液管</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200支/盒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14细胞因子检测试剂盒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1ml吸头</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1×PBS（500ml）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2×PCR SuperMix(+dye)</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15×1ml/包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200µL吸头</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25cm细胞培养瓶，透气盖，TC处理（20个/包）</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20个/包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25ml移液管</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200支/盒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500mL淋巴细胞分离液</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5a感受细胞</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10×100 µl/包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6cm直径细胞培养皿</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10个/袋</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75cm细胞培养瓶，透气盖，TC处理（5个）</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5个/包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A83-01</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100mg/支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AapCas12b</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1000pmol/盒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Accutase 100ml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Acetylcysteine (N-acetylcysteine)</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5mg/瓶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Akt antibody（100µl）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神经元细胞培养添加剂</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BDNF antibody（100µl）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Biotin-14-dCTP</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 nmol/瓶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CCK8试剂盒（3000次）</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3000T/盒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CEP290抗体（100µl）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ChIP检测试剂盒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DMEM 培养基</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DMSO（500ml）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 marker（100PREPS）</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DNA/siRNA转试剂</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DNA纯化试剂盒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DNA提取试剂盒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200次/盒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DNA专用建库试剂盒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DNA转染试剂</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0.4ml/支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Double Strand cDNA Synthesis Kit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DSPE-PEG2K-T7(50mg)</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50mg/包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Eagle MEM（500ml）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CD3 Pos Sel Kit 人T细胞正选试剂盒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w:t>
            </w:r>
            <w:r>
              <w:rPr>
                <w:rFonts w:ascii="Times New Roman" w:hAnsi="Times New Roman"/>
                <w:szCs w:val="24"/>
                <w:vertAlign w:val="superscript"/>
              </w:rPr>
              <w:t>9</w:t>
            </w:r>
            <w:r>
              <w:rPr>
                <w:rFonts w:ascii="Times New Roman" w:hAnsi="Times New Roman"/>
                <w:szCs w:val="24"/>
              </w:rPr>
              <w:t xml:space="preserve"> cells/盒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2*Qpcr Mastermix-LowRox</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r>
              <w:rPr>
                <w:rFonts w:ascii="Times New Roman" w:hAnsi="Times New Roman"/>
                <w:color w:val="000000"/>
                <w:szCs w:val="24"/>
              </w:rPr>
              <w:t>×</w:t>
            </w:r>
            <w:r>
              <w:rPr>
                <w:rFonts w:ascii="Times New Roman" w:hAnsi="Times New Roman"/>
                <w:szCs w:val="24"/>
              </w:rPr>
              <w:t>1ml/</w:t>
            </w:r>
            <w:r>
              <w:rPr>
                <w:rFonts w:hint="eastAsia" w:ascii="Times New Roman" w:hAnsi="Times New Roman"/>
                <w:szCs w:val="24"/>
              </w:rPr>
              <w:t>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GFAP 抗体（100µl）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w:t>
            </w:r>
            <w:r>
              <w:rPr>
                <w:rFonts w:hint="eastAsia" w:ascii="Times New Roman" w:hAnsi="Times New Roman"/>
                <w:szCs w:val="24"/>
              </w:rPr>
              <w:t>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Glutamax (100ml）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GSK3β ELISA Kit（96T）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High Pure dNTPs(10mM each)</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1ml/管</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管</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FGF-10</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10µg/支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KGF</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10µg/支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Noggin</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20µg/支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RSPO1</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20µg/支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 CD3/CD28 TCell Act, 2 mL人T细胞扩增激活剂</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w:t>
            </w:r>
            <w:r>
              <w:rPr>
                <w:rFonts w:ascii="Times New Roman" w:hAnsi="Times New Roman"/>
                <w:szCs w:val="24"/>
                <w:vertAlign w:val="superscript"/>
              </w:rPr>
              <w:t xml:space="preserve">8 </w:t>
            </w:r>
            <w:r>
              <w:rPr>
                <w:rFonts w:ascii="Times New Roman" w:hAnsi="Times New Roman"/>
                <w:szCs w:val="24"/>
              </w:rPr>
              <w:t>beads/mL/支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 Cell Exp Medium, 500 mL人T细胞扩增培养基</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IMPase ELISA Kit（96T）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INPP5E ELISA Kit（96T）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INPPP5E 抗体（100µ）</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LB固体培养基(干粉)</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250g/瓶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LB液体培养基(干粉)</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250g/瓶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MEM培养基</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MSKl抗体（100µl）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MTT细胞增殖及细胞毒性检测试剂盒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500T/个</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NeuN抗体（100µl）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Non-essential Amino Acids 100X</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NPHPl抗体（100µl）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PBS，pH 7.4 (1X) 细胞培养级</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PCR八排管（0.2ml）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125排/盒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PCR产物纯化试剂盒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1000次/盒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PI3K抗体（100µl）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PIP2 ELISA Kit（96T）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PIP3 ELISA Kit（96T）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PIP5KIγ抗体（100µl）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Probe qPCR SuperMix</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1ml×25/个</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PTEN ELISA Kit（96T）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PVDF膜（0.45UM）</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27cm</w:t>
            </w:r>
            <w:r>
              <w:rPr>
                <w:rFonts w:ascii="Times New Roman" w:hAnsi="Times New Roman"/>
                <w:szCs w:val="24"/>
              </w:rPr>
              <w:t xml:space="preserve"> </w:t>
            </w:r>
            <w:r>
              <w:rPr>
                <w:rFonts w:hint="eastAsia" w:ascii="Times New Roman" w:hAnsi="Times New Roman"/>
                <w:szCs w:val="24"/>
              </w:rPr>
              <w:t>X</w:t>
            </w:r>
            <w:r>
              <w:rPr>
                <w:rFonts w:ascii="Times New Roman" w:hAnsi="Times New Roman"/>
                <w:szCs w:val="24"/>
              </w:rPr>
              <w:t xml:space="preserve"> </w:t>
            </w:r>
            <w:r>
              <w:rPr>
                <w:rFonts w:hint="eastAsia" w:ascii="Times New Roman" w:hAnsi="Times New Roman"/>
                <w:szCs w:val="24"/>
              </w:rPr>
              <w:t>1.875m/盒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Ribonuclease Inhibitor</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10KU/包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RNA保存管</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10管×20/箱</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RNA提取试剂盒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RNA专用建库试剂盒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分选用buffer 250ml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RPMI 1640（500ml）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RT-PCR 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SB 202190</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100mg/瓶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SDS-PAGE凝胶配制试剂盒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125 Gels/盒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T4 Polynucleotide Kinase（250U）</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2,500 units/支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Taq高保真DNA聚合酶</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TBS/Tween缓冲液 （10×，500ml）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TMEM231抗体（100µl）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5k DNA Marker</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25×500µl/袋</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5α Chemically Competent Cell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10×100 µl/包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 Marker 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5×500 µl/袋</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 Marker ll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5×500 µl/袋</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Green One-Step qRT-PCR SuperMix</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400×20 µl/袋</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嵌套，含12孔板</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48嵌套/箱</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93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嵌套，含12孔板（PC膜，12mm，0.4um)</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 xml:space="preserve">12嵌套/块 </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嵌套，含24孔板</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 xml:space="preserve"> 48嵌套/箱</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总RNA提取试剂</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Ultra SYBR Mixture（Low ROX）</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40ml/</w:t>
            </w:r>
            <w:r>
              <w:rPr>
                <w:rFonts w:hint="eastAsia" w:ascii="Times New Roman" w:hAnsi="Times New Roman"/>
                <w:szCs w:val="24"/>
              </w:rPr>
              <w:t>个</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WB抗体快速剥离缓冲液（ 温和通用型）（500ml）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Y-27632</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10mg/瓶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β-catenin抗体（100µl）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超纯水（500ml）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低生长因子基质胶，无酚红</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电泳液（500ml）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凋亡检测试剂盒（100T）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定量PCR预混液</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100T/个</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冻存管1.8mL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50个/包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冻存管5mL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50个/包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冻存盒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81格/个</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反转录试剂盒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1248"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封固剂withDAPI</w:t>
            </w:r>
          </w:p>
          <w:p>
            <w:pPr>
              <w:widowControl/>
              <w:autoSpaceDE/>
              <w:autoSpaceDN/>
              <w:spacing w:after="0" w:line="240" w:lineRule="auto"/>
              <w:jc w:val="center"/>
              <w:rPr>
                <w:rFonts w:ascii="Times New Roman" w:hAnsi="Times New Roman"/>
                <w:szCs w:val="24"/>
              </w:rPr>
            </w:pPr>
            <w:r>
              <w:rPr>
                <w:rFonts w:ascii="Times New Roman" w:hAnsi="Times New Roman"/>
                <w:szCs w:val="24"/>
              </w:rPr>
              <w:t>（100ml）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封口膜</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 mm × 38 m</w:t>
            </w:r>
            <w:r>
              <w:rPr>
                <w:rFonts w:hint="eastAsia" w:ascii="Times New Roman" w:hAnsi="Times New Roman"/>
                <w:szCs w:val="24"/>
              </w:rPr>
              <w:t>/</w:t>
            </w:r>
            <w:r>
              <w:rPr>
                <w:rFonts w:ascii="Times New Roman" w:hAnsi="Times New Roman"/>
                <w:szCs w:val="24"/>
              </w:rPr>
              <w:t>卷</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卷</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海肾萤光素酶报告基因检测试剂盒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核酸染料（0.5ml）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≥0.5ml/支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痕量DNA建库试剂盒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化学发光底物（500ml）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500ml/套</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套</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肌醇（1G）</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1g</w:t>
            </w:r>
            <w:r>
              <w:rPr>
                <w:rFonts w:hint="eastAsia" w:ascii="Times New Roman" w:hAnsi="Times New Roman"/>
                <w:szCs w:val="24"/>
              </w:rPr>
              <w:t>/瓶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基因组DNA提取试剂盒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建库接头试剂盒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w:t>
            </w:r>
            <w:r>
              <w:rPr>
                <w:rFonts w:ascii="Times New Roman" w:hAnsi="Times New Roman"/>
                <w:color w:val="000000"/>
                <w:szCs w:val="24"/>
              </w:rPr>
              <w:t>μ</w:t>
            </w:r>
            <w:r>
              <w:rPr>
                <w:rFonts w:ascii="Times New Roman" w:hAnsi="Times New Roman"/>
                <w:szCs w:val="24"/>
              </w:rPr>
              <w:t>l/盒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接种环10</w:t>
            </w:r>
            <w:r>
              <w:rPr>
                <w:rFonts w:ascii="Times New Roman" w:hAnsi="Times New Roman"/>
                <w:color w:val="000000"/>
                <w:szCs w:val="24"/>
              </w:rPr>
              <w:t>μ</w:t>
            </w:r>
            <w:r>
              <w:rPr>
                <w:rFonts w:ascii="Times New Roman" w:hAnsi="Times New Roman"/>
                <w:szCs w:val="24"/>
              </w:rPr>
              <w:t>l灭菌</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r>
              <w:rPr>
                <w:rFonts w:ascii="Times New Roman" w:hAnsi="Times New Roman"/>
                <w:color w:val="000000"/>
                <w:szCs w:val="24"/>
              </w:rPr>
              <w:t>μ</w:t>
            </w:r>
            <w:r>
              <w:rPr>
                <w:rFonts w:ascii="Times New Roman" w:hAnsi="Times New Roman"/>
                <w:szCs w:val="24"/>
              </w:rPr>
              <w:t>l</w:t>
            </w:r>
            <w:r>
              <w:rPr>
                <w:rFonts w:hint="eastAsia" w:ascii="Times New Roman" w:hAnsi="Times New Roman"/>
                <w:szCs w:val="24"/>
              </w:rPr>
              <w:t>/个</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离心管(15ml)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500支/箱</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离心管（50ml）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500支/箱</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免冰浴快速转膜缓冲液 ( 10×，500ml）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免疫组化封闭试剂（500ml）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免疫组化固定/通透化处理试剂盒（96T）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逆转录试剂盒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琼脂糖（100G）</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100g/瓶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人脑膜原代细胞</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5×10</w:t>
            </w:r>
            <w:r>
              <w:rPr>
                <w:rFonts w:ascii="Times New Roman" w:hAnsi="Times New Roman" w:cs="Cambria Math"/>
                <w:color w:val="000000"/>
                <w:szCs w:val="24"/>
              </w:rPr>
              <w:t>⁵</w:t>
            </w:r>
            <w:r>
              <w:rPr>
                <w:rFonts w:ascii="Times New Roman" w:hAnsi="Times New Roman"/>
                <w:color w:val="000000"/>
                <w:szCs w:val="24"/>
              </w:rPr>
              <w:t xml:space="preserve"> cells/瓶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实时荧光DNA扩增</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2500 rxns/盒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速溶型蛋白上样缓冲液</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15×1ml/袋</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胎牛血清（500ml）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特异性核酸扩增指示剂</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10mg/瓶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通用建库试剂盒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通用型DNA回收试剂盒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脱氧核糖核酸恒温扩增试剂盒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4×48T/盒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脱脂奶粉（100G）</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100g/瓶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无蛋白快速封闭液 （1×，500ml）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无菌带滤芯吸头(1000μL，10×96T)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10×96支/盒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无菌带滤芯吸头(100μL，10×96T)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10×96支/盒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无菌带滤芯吸头(10μL，10×96T)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10×96支/盒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无菌离心管（0.5ml）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无菌离心管（1.5ml）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无菌吸头（0.01ml）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10×</w:t>
            </w: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无菌吸头（0.2ml）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10×</w:t>
            </w: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无菌吸头（1ml）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10×</w:t>
            </w:r>
            <w:r>
              <w:rPr>
                <w:rFonts w:ascii="Times New Roman" w:hAnsi="Times New Roman"/>
                <w:szCs w:val="24"/>
              </w:rPr>
              <w:t>96T/盒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吸头（10μL）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细胞培养板（12孔）</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12孔/块</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细胞培养板（24孔）</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24孔/块</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细胞培养板（6孔）</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6孔/50块/箱</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细胞培养板（96孔）</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96孔/块</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细胞培养瓶（T25）</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20个/包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细胞培养瓶（T75）</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20个/包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细胞增殖试剂盒（100T）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限制性内切酶</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1000U/支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血液/细胞/组织基因组DNA提取试剂盒（250T）</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200次/盒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样本冻存管（2.0ml）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2ml，50个</w:t>
            </w:r>
            <w:r>
              <w:rPr>
                <w:rFonts w:hint="eastAsia" w:ascii="Times New Roman" w:hAnsi="Times New Roman"/>
                <w:szCs w:val="24"/>
              </w:rPr>
              <w:t>/包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一次性横向测流纳米流生物传感条（CRISPR专用）</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100个/包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一次性横向测流生物传感条（#1）</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100个/包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一次性横向测流生物传感条（#2）</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100个/包</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一次性使用塑料试管</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100支×10袋/箱</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胰酶0.25%（100ml）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荧光标记二抗</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1-158</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HRP标记二抗</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1ml/支</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1-159</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长片段高保真PCR试剂盒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1-160</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质粒大提试剂盒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10次/盒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质粒小提试剂盒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重组酶聚合酶扩增试剂盒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组织RNA提取试剂盒（100ml）</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NC膜</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27 cm x 3.75 m</w:t>
            </w:r>
            <w:r>
              <w:rPr>
                <w:rFonts w:hint="eastAsia" w:ascii="Times New Roman" w:hAnsi="Times New Roman"/>
                <w:szCs w:val="24"/>
              </w:rPr>
              <w:t>/</w:t>
            </w:r>
            <w:r>
              <w:rPr>
                <w:rFonts w:ascii="Times New Roman" w:hAnsi="Times New Roman"/>
                <w:szCs w:val="24"/>
              </w:rPr>
              <w:t>卷</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卷</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1-165</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病毒基因组提取试剂盒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1-166</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粪便基因组 DNA 提取试剂盒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1-167</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血液基因组 DNA 提取试剂盒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85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restart"/>
            <w:tcBorders>
              <w:top w:val="nil"/>
              <w:left w:val="single" w:color="auto" w:sz="4" w:space="0"/>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2</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2-1</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人瘦素</w:t>
            </w:r>
            <w:r>
              <w:rPr>
                <w:rFonts w:ascii="Times New Roman" w:hAnsi="Times New Roman" w:cs="Arial"/>
                <w:szCs w:val="24"/>
              </w:rPr>
              <w:t>(LEP)elisa</w:t>
            </w:r>
            <w:r>
              <w:rPr>
                <w:rFonts w:ascii="Times New Roman" w:hAnsi="Times New Roman"/>
                <w:szCs w:val="24"/>
              </w:rPr>
              <w:t>试剂盒</w:t>
            </w:r>
          </w:p>
        </w:tc>
        <w:tc>
          <w:tcPr>
            <w:tcW w:w="170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48T</w:t>
            </w:r>
            <w:r>
              <w:rPr>
                <w:rFonts w:ascii="Times New Roman" w:hAnsi="Times New Roman"/>
                <w:szCs w:val="24"/>
              </w:rPr>
              <w: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盒</w:t>
            </w:r>
          </w:p>
        </w:tc>
        <w:tc>
          <w:tcPr>
            <w:tcW w:w="85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2-2</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人脂联素(ADPN)elisa试剂盒</w:t>
            </w:r>
          </w:p>
        </w:tc>
        <w:tc>
          <w:tcPr>
            <w:tcW w:w="170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48T</w:t>
            </w:r>
            <w:r>
              <w:rPr>
                <w:rFonts w:ascii="Times New Roman" w:hAnsi="Times New Roman"/>
                <w:szCs w:val="24"/>
              </w:rPr>
              <w:t>/盒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盒</w:t>
            </w:r>
          </w:p>
        </w:tc>
        <w:tc>
          <w:tcPr>
            <w:tcW w:w="85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2496"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2-3</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葡萄糖（Glu）试剂盒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R1:6*44ml</w:t>
            </w:r>
            <w:r>
              <w:rPr>
                <w:rFonts w:ascii="Times New Roman" w:hAnsi="Times New Roman" w:cs="Arial"/>
                <w:sz w:val="18"/>
                <w:szCs w:val="18"/>
              </w:rPr>
              <w:t xml:space="preserve"> </w:t>
            </w:r>
            <w:r>
              <w:rPr>
                <w:rFonts w:ascii="Times New Roman" w:hAnsi="Times New Roman"/>
                <w:color w:val="000000"/>
                <w:szCs w:val="24"/>
              </w:rPr>
              <w:br w:type="textWrapping"/>
            </w:r>
            <w:r>
              <w:rPr>
                <w:rFonts w:ascii="Times New Roman" w:hAnsi="Times New Roman"/>
                <w:color w:val="000000"/>
                <w:szCs w:val="24"/>
              </w:rPr>
              <w:t>R2:3*45ml</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hint="eastAsia" w:ascii="Times New Roman" w:hAnsi="Times New Roman"/>
                <w:color w:val="000000"/>
                <w:szCs w:val="24"/>
              </w:rPr>
              <w:t>人份</w:t>
            </w:r>
          </w:p>
        </w:tc>
        <w:tc>
          <w:tcPr>
            <w:tcW w:w="85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w:t>
            </w:r>
            <w:r>
              <w:rPr>
                <w:rFonts w:hint="eastAsia" w:ascii="Times New Roman" w:hAnsi="Times New Roman"/>
                <w:color w:val="000000"/>
                <w:szCs w:val="24"/>
              </w:rPr>
              <w:t>618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jc w:val="center"/>
        </w:trPr>
        <w:tc>
          <w:tcPr>
            <w:tcW w:w="704"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w:t>
            </w:r>
          </w:p>
        </w:tc>
        <w:tc>
          <w:tcPr>
            <w:tcW w:w="2693"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血脂四项检测试剂盒</w:t>
            </w:r>
          </w:p>
        </w:tc>
        <w:tc>
          <w:tcPr>
            <w:tcW w:w="1701"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50T/48S/盒</w:t>
            </w:r>
          </w:p>
        </w:tc>
        <w:tc>
          <w:tcPr>
            <w:tcW w:w="851"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盒</w:t>
            </w:r>
          </w:p>
        </w:tc>
        <w:tc>
          <w:tcPr>
            <w:tcW w:w="85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20</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bl>
    <w:p>
      <w:pPr>
        <w:pStyle w:val="9"/>
        <w:autoSpaceDE/>
        <w:autoSpaceDN/>
        <w:spacing w:after="0"/>
        <w:ind w:right="290"/>
        <w:rPr>
          <w:sz w:val="28"/>
        </w:rPr>
      </w:pPr>
    </w:p>
    <w:p>
      <w:pPr>
        <w:pStyle w:val="5"/>
        <w:autoSpaceDE/>
        <w:autoSpaceDN/>
        <w:spacing w:after="0"/>
        <w:jc w:val="center"/>
      </w:pPr>
      <w:r>
        <w:rPr>
          <w:rFonts w:hint="eastAsia"/>
        </w:rPr>
        <w:t>二、</w:t>
      </w:r>
      <w:r>
        <w:t>商务要求</w:t>
      </w:r>
    </w:p>
    <w:p>
      <w:pPr>
        <w:contextualSpacing/>
        <w:rPr>
          <w:rFonts w:ascii="Times New Roman" w:hAnsi="Times New Roman"/>
        </w:rPr>
      </w:pPr>
      <w:r>
        <w:rPr>
          <w:rFonts w:ascii="Times New Roman" w:hAnsi="Times New Roman"/>
        </w:rPr>
        <w:t>1.</w:t>
      </w:r>
      <w:r>
        <w:rPr>
          <w:rFonts w:hint="eastAsia" w:ascii="Times New Roman" w:hAnsi="Times New Roman"/>
        </w:rPr>
        <w:t xml:space="preserve"> 交货期和交货地点</w:t>
      </w:r>
    </w:p>
    <w:p>
      <w:pPr>
        <w:contextualSpacing/>
        <w:rPr>
          <w:rFonts w:ascii="Times New Roman" w:hAnsi="Times New Roman"/>
        </w:rPr>
      </w:pPr>
      <w:r>
        <w:rPr>
          <w:rFonts w:hint="eastAsia" w:ascii="Times New Roman" w:hAnsi="Times New Roman"/>
        </w:rPr>
        <w:t>1</w:t>
      </w:r>
      <w:r>
        <w:rPr>
          <w:rFonts w:ascii="Times New Roman" w:hAnsi="Times New Roman"/>
        </w:rPr>
        <w:t>.1</w:t>
      </w:r>
      <w:r>
        <w:rPr>
          <w:rFonts w:hint="eastAsia" w:ascii="Times New Roman" w:hAnsi="Times New Roman"/>
        </w:rPr>
        <w:t xml:space="preserve"> 交货期：详见投标邀请合同履行期限</w:t>
      </w:r>
    </w:p>
    <w:p>
      <w:pPr>
        <w:contextualSpacing/>
        <w:rPr>
          <w:rFonts w:ascii="Times New Roman" w:hAnsi="Times New Roman"/>
          <w:b/>
          <w:strike/>
        </w:rPr>
      </w:pPr>
      <w:r>
        <w:rPr>
          <w:rFonts w:hint="eastAsia" w:ascii="Times New Roman" w:hAnsi="Times New Roman"/>
        </w:rPr>
        <w:t>1</w:t>
      </w:r>
      <w:r>
        <w:rPr>
          <w:rFonts w:ascii="Times New Roman" w:hAnsi="Times New Roman"/>
        </w:rPr>
        <w:t>.2</w:t>
      </w:r>
      <w:r>
        <w:rPr>
          <w:rFonts w:hint="eastAsia" w:ascii="Times New Roman" w:hAnsi="Times New Roman"/>
        </w:rPr>
        <w:t xml:space="preserve"> 交货地点：采购人指定地点</w:t>
      </w:r>
    </w:p>
    <w:p>
      <w:pPr>
        <w:contextualSpacing/>
        <w:rPr>
          <w:rFonts w:ascii="Times New Roman" w:hAnsi="Times New Roman"/>
        </w:rPr>
      </w:pPr>
      <w:r>
        <w:rPr>
          <w:rFonts w:hint="eastAsia" w:ascii="Times New Roman" w:hAnsi="Times New Roman"/>
        </w:rPr>
        <w:t>2.包装和运输（如适用，须满足《关于印发〈商品包装政府采购需求标准（试行）〉、〈快递包装政府采购需求标准（试行）〉的通知》（财办库﹝2020﹞123号））</w:t>
      </w:r>
    </w:p>
    <w:p>
      <w:pPr>
        <w:pStyle w:val="5"/>
        <w:autoSpaceDE/>
        <w:autoSpaceDN/>
        <w:spacing w:after="0"/>
        <w:jc w:val="center"/>
      </w:pPr>
      <w:r>
        <w:t>三、技术要求</w:t>
      </w:r>
    </w:p>
    <w:p>
      <w:pPr>
        <w:autoSpaceDE/>
        <w:autoSpaceDN/>
        <w:spacing w:after="0" w:line="240" w:lineRule="auto"/>
        <w:rPr>
          <w:rFonts w:ascii="Times New Roman" w:hAnsi="Times New Roman"/>
        </w:rPr>
      </w:pPr>
      <w:bookmarkStart w:id="1" w:name="_Toc148536817"/>
      <w:r>
        <w:rPr>
          <w:rFonts w:hint="eastAsia" w:ascii="Times New Roman" w:hAnsi="Times New Roman"/>
        </w:rPr>
        <w:t>说明：</w:t>
      </w:r>
    </w:p>
    <w:p>
      <w:pPr>
        <w:autoSpaceDE/>
        <w:autoSpaceDN/>
        <w:spacing w:after="0" w:line="240" w:lineRule="auto"/>
        <w:rPr>
          <w:rFonts w:ascii="Times New Roman" w:hAnsi="Times New Roman"/>
        </w:rPr>
      </w:pPr>
      <w:r>
        <w:rPr>
          <w:rFonts w:hint="eastAsia" w:ascii="Times New Roman" w:hAnsi="Times New Roman"/>
        </w:rPr>
        <w:t>1. 以下技术指标及要求中如出现设备或产品品牌或指向某个品牌，仅作为参考该设备或产品所需达到的具体技术性能要求，不作为该设备或产品的品牌要求。</w:t>
      </w:r>
    </w:p>
    <w:p>
      <w:pPr>
        <w:autoSpaceDE/>
        <w:autoSpaceDN/>
        <w:spacing w:after="0" w:line="240" w:lineRule="auto"/>
        <w:rPr>
          <w:rFonts w:ascii="Times New Roman" w:hAnsi="Times New Roman"/>
        </w:rPr>
      </w:pPr>
      <w:r>
        <w:rPr>
          <w:rFonts w:hint="eastAsia" w:ascii="Times New Roman" w:hAnsi="Times New Roman"/>
        </w:rPr>
        <w:t>2. 下列“▲、*、#”技术条款及其它一般技术条款仅为评审打分项，不作为无效投标条款。</w:t>
      </w:r>
    </w:p>
    <w:p>
      <w:pPr>
        <w:autoSpaceDE/>
        <w:autoSpaceDN/>
        <w:spacing w:after="0" w:line="240" w:lineRule="auto"/>
        <w:rPr>
          <w:rFonts w:ascii="Times New Roman" w:hAnsi="Times New Roman"/>
        </w:rPr>
      </w:pPr>
      <w:r>
        <w:rPr>
          <w:rFonts w:hint="eastAsia" w:ascii="Times New Roman" w:hAnsi="Times New Roman"/>
        </w:rPr>
        <w:t>具体技术指标要求如下：</w:t>
      </w:r>
      <w:bookmarkStart w:id="2" w:name="_Toc154758737"/>
    </w:p>
    <w:p>
      <w:pPr>
        <w:pStyle w:val="5"/>
        <w:autoSpaceDE/>
        <w:autoSpaceDN/>
        <w:spacing w:after="0"/>
        <w:rPr>
          <w:color w:val="EE0000"/>
        </w:rPr>
      </w:pPr>
      <w:r>
        <w:rPr>
          <w:rFonts w:hint="eastAsia"/>
        </w:rPr>
        <w:t>第1包：</w:t>
      </w:r>
    </w:p>
    <w:tbl>
      <w:tblPr>
        <w:tblStyle w:val="15"/>
        <w:tblW w:w="10180" w:type="dxa"/>
        <w:jc w:val="center"/>
        <w:tblLayout w:type="autofit"/>
        <w:tblCellMar>
          <w:top w:w="0" w:type="dxa"/>
          <w:left w:w="108" w:type="dxa"/>
          <w:bottom w:w="0" w:type="dxa"/>
          <w:right w:w="108" w:type="dxa"/>
        </w:tblCellMar>
      </w:tblPr>
      <w:tblGrid>
        <w:gridCol w:w="643"/>
        <w:gridCol w:w="723"/>
        <w:gridCol w:w="2375"/>
        <w:gridCol w:w="1127"/>
        <w:gridCol w:w="752"/>
        <w:gridCol w:w="646"/>
        <w:gridCol w:w="3914"/>
      </w:tblGrid>
      <w:tr>
        <w:tblPrEx>
          <w:tblCellMar>
            <w:top w:w="0" w:type="dxa"/>
            <w:left w:w="108" w:type="dxa"/>
            <w:bottom w:w="0" w:type="dxa"/>
            <w:right w:w="108" w:type="dxa"/>
          </w:tblCellMar>
        </w:tblPrEx>
        <w:trPr>
          <w:trHeight w:val="1044"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color w:val="000000"/>
                <w:szCs w:val="24"/>
              </w:rPr>
            </w:pPr>
            <w:r>
              <w:rPr>
                <w:rFonts w:ascii="Times New Roman" w:hAnsi="Times New Roman"/>
                <w:b/>
                <w:bCs/>
                <w:color w:val="000000"/>
                <w:szCs w:val="24"/>
              </w:rPr>
              <w:t>包号</w:t>
            </w:r>
          </w:p>
        </w:tc>
        <w:tc>
          <w:tcPr>
            <w:tcW w:w="727"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品目</w:t>
            </w:r>
          </w:p>
        </w:tc>
        <w:tc>
          <w:tcPr>
            <w:tcW w:w="1839"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标的名称</w:t>
            </w:r>
          </w:p>
        </w:tc>
        <w:tc>
          <w:tcPr>
            <w:tcW w:w="1110"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规格</w:t>
            </w:r>
          </w:p>
        </w:tc>
        <w:tc>
          <w:tcPr>
            <w:tcW w:w="752"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单位</w:t>
            </w:r>
          </w:p>
        </w:tc>
        <w:tc>
          <w:tcPr>
            <w:tcW w:w="672"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数量</w:t>
            </w:r>
          </w:p>
        </w:tc>
        <w:tc>
          <w:tcPr>
            <w:tcW w:w="4437"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color w:val="000000"/>
                <w:szCs w:val="24"/>
              </w:rPr>
            </w:pPr>
            <w:r>
              <w:rPr>
                <w:rFonts w:ascii="Times New Roman" w:hAnsi="Times New Roman"/>
                <w:b/>
                <w:bCs/>
                <w:color w:val="000000"/>
                <w:szCs w:val="24"/>
              </w:rPr>
              <w:t>技术参数要求</w:t>
            </w:r>
          </w:p>
        </w:tc>
      </w:tr>
      <w:tr>
        <w:tblPrEx>
          <w:tblCellMar>
            <w:top w:w="0" w:type="dxa"/>
            <w:left w:w="108" w:type="dxa"/>
            <w:bottom w:w="0" w:type="dxa"/>
            <w:right w:w="108" w:type="dxa"/>
          </w:tblCellMar>
        </w:tblPrEx>
        <w:trPr>
          <w:trHeight w:val="1248" w:hRule="atLeast"/>
          <w:jc w:val="center"/>
        </w:trPr>
        <w:tc>
          <w:tcPr>
            <w:tcW w:w="643" w:type="dxa"/>
            <w:vMerge w:val="restart"/>
            <w:tcBorders>
              <w:top w:val="nil"/>
              <w:left w:val="single" w:color="auto" w:sz="4" w:space="0"/>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w:t>
            </w: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Blood RNA Kit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w:t>
            </w:r>
            <w:r>
              <w:rPr>
                <w:rFonts w:hint="eastAsia" w:ascii="Times New Roman" w:hAnsi="Times New Roman"/>
                <w:szCs w:val="24"/>
              </w:rPr>
              <w:t>/</w:t>
            </w:r>
            <w:r>
              <w:rPr>
                <w:rFonts w:ascii="Times New Roman" w:hAnsi="Times New Roman"/>
                <w:szCs w:val="24"/>
              </w:rPr>
              <w: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无需有毒的苯酚/氯仿抽提/乙醇沉淀，用于全血中分离和纯化胞间RNA，所得RNA可适于real-time RT-PCR和RNA-Seq实验。规格：100T</w:t>
            </w:r>
            <w:r>
              <w:rPr>
                <w:rFonts w:hint="eastAsia" w:ascii="Times New Roman" w:hAnsi="Times New Roman"/>
                <w:szCs w:val="24"/>
              </w:rPr>
              <w: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0.5ml离心管</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材质为透明聚丙烯，非无菌，可高压灭菌。规格：1000支/盒。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1.5ml离心管</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材质为透明聚丙烯，非无菌，可高压灭菌。规格：500支/盒。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10ml移液管</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200支/盒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材质为聚苯乙烯，独立包装，无菌、无热原，无DNA酶,无RNA酶。规格：200支/盒。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14细胞因子检测试剂盒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可在单孔中检测血浆、血清、细胞培养上清液或其他体液样本，可同时检测并定量14种蛋白质靶标。规格：96T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1ml吸头</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材料为透明聚丙烯，非无菌，可高压灭菌。规格：500支/包。</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1×PBS（500ml）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无菌，即用型液体，pH为7.2-7.4，用于试剂配制和细胞培养。规格500ml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2×PCR SuperMix(+dye)</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15×1ml/包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DNA Polymerase、dNTPs和优化的反应缓冲液，浓度为2×，规格：15</w:t>
            </w:r>
            <w:r>
              <w:rPr>
                <w:rFonts w:ascii="Times New Roman" w:hAnsi="Times New Roman"/>
                <w:szCs w:val="24"/>
              </w:rPr>
              <w:t>×</w:t>
            </w:r>
            <w:r>
              <w:rPr>
                <w:rFonts w:ascii="Times New Roman" w:hAnsi="Times New Roman"/>
                <w:color w:val="000000"/>
                <w:szCs w:val="24"/>
              </w:rPr>
              <w:t>1ml</w:t>
            </w:r>
            <w:r>
              <w:rPr>
                <w:rFonts w:ascii="Times New Roman" w:hAnsi="Times New Roman"/>
                <w:szCs w:val="24"/>
              </w:rPr>
              <w:t>/包</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200µL吸头</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材料为透明聚丙烯，非无菌，可高压灭菌。规格：1000支/包。</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25cm细胞培养瓶，透气盖，TC处理（20个/包）</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20个/包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高透明度，TC处理表面，透气盖，无菌， 无热原，无DNase/RNase，规格：20个/包。</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25ml移液管</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200支/盒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材质为聚苯乙烯，独立包装，无菌、无热原，无DNA酶,无RNA酶。规格：200支/盒。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500mL淋巴细胞分离液</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适用于从人外周血、脐血、浓缩白蛋白样本中分离出单个核细胞，规格：500ml/瓶。</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5a感受细胞</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10×100 µl/包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用于DNA的化学转化，规格：10×100 µl</w:t>
            </w:r>
            <w:r>
              <w:rPr>
                <w:rFonts w:ascii="Times New Roman" w:hAnsi="Times New Roman"/>
                <w:szCs w:val="24"/>
              </w:rPr>
              <w:t>/包</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6cm直径细胞培养皿</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10个/袋</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材质为透明聚丙烯，无菌，TC处理，无DNase/RNase，无热原，无细胞毒性。规格60mm。规格：10个/袋。</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75cm细胞培养瓶，透气盖，TC处理（5个）</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5个/包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高透明度，TC处理表面，透气盖，无菌， 无热原，无DNase/RNase，规格：5个/包。</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A83-01</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100mg/支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粉末， TGF-β type I receptor (ALK5-TD) 的抑制剂，规格：100mg</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1872"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AapCas12b</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1000pmol/盒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核酸内切酶，在单链向导RNA引导下与靶DNA特定位点结合并切割的核酸内切酶。在向导RNA引导下识别并切割靶标双链DNA时，其“附属切割”活性被激活，可高效切割体系中非特异单链DNA(ssDNA)。规格：1000pmol/盒。</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Accutase 100ml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不含任何动物</w:t>
            </w:r>
            <w:r>
              <w:rPr>
                <w:rFonts w:hint="eastAsia" w:ascii="Times New Roman" w:hAnsi="Times New Roman"/>
                <w:color w:val="000000"/>
                <w:szCs w:val="24"/>
              </w:rPr>
              <w:t>污染</w:t>
            </w:r>
            <w:r>
              <w:rPr>
                <w:rFonts w:ascii="Times New Roman" w:hAnsi="Times New Roman"/>
                <w:color w:val="000000"/>
                <w:szCs w:val="24"/>
              </w:rPr>
              <w:t>和细菌来源，作为胰酶-EDTA消化液的完美替换产品，用于从常规组织培养器皿、粘附包被培养器皿和聚合物上消化细胞。规格：100ml/瓶。</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Acetylcysteine (N-acetylcysteine)</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5mg/瓶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膜穿孔抗氧化剂，白色粉末，纯度≥98%，规格：5mg</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Akt antibody（100µl）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单克隆抗体，检测Akt蛋白水平，可用于WB.规格：100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神经元细胞培养添加剂</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50×的液体，无血清添加剂,应用于大多数神经细胞培养。规格10ml/瓶。</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BDNF antibody（100µl）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单克隆抗体，检测Akt蛋白水平，可用于WB。规格：100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Biotin-14-dCTP</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 nmol/瓶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Biotin-14-dCTP 用于 DNA 生物素化，是传统放射性同位素标记的出色替代物。在 -20°C 下储存。规格：50 nmol/瓶。</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CCK8试剂盒（3000次）</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3000T/盒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595959"/>
                <w:szCs w:val="24"/>
              </w:rPr>
            </w:pPr>
            <w:r>
              <w:rPr>
                <w:rFonts w:ascii="Times New Roman" w:hAnsi="Times New Roman"/>
                <w:color w:val="595959"/>
                <w:szCs w:val="24"/>
              </w:rPr>
              <w:t>液体，基于WST-8的广泛应用于细胞增殖和细胞毒性的快速高灵敏度检测试剂盒,毒性低，稳定性好。规格：3000T</w:t>
            </w:r>
            <w:r>
              <w:rPr>
                <w:rFonts w:ascii="Times New Roman" w:hAnsi="Times New Roman"/>
                <w:szCs w:val="24"/>
              </w:rPr>
              <w:t>/盒</w:t>
            </w:r>
            <w:r>
              <w:rPr>
                <w:rFonts w:ascii="Times New Roman" w:hAnsi="Times New Roman"/>
                <w:color w:val="595959"/>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CEP290抗体（100µl）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多克隆抗体，检测CEP290蛋白水平，可用于WB。规格：100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ChIP检测试剂盒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适用于蛋白质与DNA相互作用，获取的DNA集可通过标准PCR、qPCR或测序等各种方法进行分析。规格：24T/盒。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DMEM 培养基</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43</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液体，过滤无菌，用于细胞培养。规格：500ml/瓶。</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DMSO（500ml）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纯度 ≥99.9%，用于试剂配制。规格：500ml/瓶。</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 marker（100PREPS）</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即用型，由6条带状双链DNA条带组成。规格100T/支。</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DNA/siRNA转试剂</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可与DNA或RNA形成复合物，并将核酸有效地递送到动物或昆虫细胞中，毒性低，用于细胞瞬时转染。规格：1ml/支。</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DNA纯化试剂盒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磁珠法DNA回收，纯化所得DNA可直接用于酶切、连接、转化细菌、测序、PCR、杂交等后续操作。规格：200T/盒。</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DNA提取试剂盒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200次/盒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用于小体系全血（≤1 ml）、培养细胞和动物组织等的基因组 DNA广谱性提取,纯化所得的 DNA 无蛋白、核酸酶污染，可直接进行 PCR、酶切和 Southern 杂交等实验操作。规格200次/盒。</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DNA专用建库试剂盒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Illumina高通量测序平台的DNA文库构建，兼容起始投入量为100 pg - 500 ng，适用于肺泡灌洗液、血细胞、血清、血浆、脑脊液等不同样本类型的DNA。规格：24T/盒。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DNA转染试剂</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0.4ml/支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能够与DNA形成复合物，并将其递送至动物或昆虫细胞中,毒性低，用于细胞瞬时转染。规格：0.4ml/支。</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Double Strand cDNA Synthesis Kit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含高效RNA反转录试剂，常规ds-cDNA合成试剂，从RNA直接合成双链cDNA，所得双链 cDNA 可以直接用于后续的常规 PCR、real-time PCR、cDNA 文库构建、抑制性差减杂交等规格：10T/盒。</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DSPE-PEG2K-T7(50mg)</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50mg/包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功能化脂质聚乙二醇(PEG)偶联肽分子，可用于纳米载体表面修饰、靶向药物递送和生物医学研究，分子量约3000-4000 Da，纯度≥95%。规格：50mg</w:t>
            </w:r>
            <w:r>
              <w:rPr>
                <w:rFonts w:ascii="Times New Roman" w:hAnsi="Times New Roman"/>
                <w:szCs w:val="24"/>
              </w:rPr>
              <w:t>/包</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Eagle MEM（500ml）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可用于各种悬浮和贴壁的哺乳动物细胞，液体，无菌。规格：500ml/瓶。</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CD3 Pos Sel Kit 人T细胞正选试剂盒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w:t>
            </w:r>
            <w:r>
              <w:rPr>
                <w:rFonts w:ascii="Times New Roman" w:hAnsi="Times New Roman"/>
                <w:szCs w:val="24"/>
                <w:vertAlign w:val="superscript"/>
              </w:rPr>
              <w:t>9</w:t>
            </w:r>
            <w:r>
              <w:rPr>
                <w:rFonts w:ascii="Times New Roman" w:hAnsi="Times New Roman"/>
                <w:szCs w:val="24"/>
              </w:rPr>
              <w:t xml:space="preserve"> cells/盒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可从人外周血单核细胞单细胞悬液中分离出CD3+ T细胞，高纯度，高活性。规格：1</w:t>
            </w:r>
            <w:r>
              <w:rPr>
                <w:rFonts w:ascii="Times New Roman" w:hAnsi="Times New Roman"/>
                <w:szCs w:val="24"/>
              </w:rPr>
              <w:t>×</w:t>
            </w:r>
            <w:r>
              <w:rPr>
                <w:rFonts w:ascii="Times New Roman" w:hAnsi="Times New Roman"/>
                <w:color w:val="000000"/>
                <w:szCs w:val="24"/>
              </w:rPr>
              <w:t>10</w:t>
            </w:r>
            <w:r>
              <w:rPr>
                <w:rFonts w:ascii="Times New Roman" w:hAnsi="Times New Roman"/>
                <w:color w:val="000000"/>
                <w:szCs w:val="24"/>
                <w:vertAlign w:val="superscript"/>
              </w:rPr>
              <w:t>9</w:t>
            </w:r>
            <w:r>
              <w:rPr>
                <w:rFonts w:ascii="Times New Roman" w:hAnsi="Times New Roman"/>
                <w:color w:val="000000"/>
                <w:szCs w:val="24"/>
              </w:rPr>
              <w:t xml:space="preserve"> cells</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2*Qpcr Mastermix-LowRox</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r>
              <w:rPr>
                <w:rFonts w:ascii="Times New Roman" w:hAnsi="Times New Roman"/>
                <w:color w:val="000000"/>
                <w:szCs w:val="24"/>
              </w:rPr>
              <w:t>×</w:t>
            </w:r>
            <w:r>
              <w:rPr>
                <w:rFonts w:ascii="Times New Roman" w:hAnsi="Times New Roman"/>
                <w:szCs w:val="24"/>
              </w:rPr>
              <w:t>1ml/</w:t>
            </w:r>
            <w:r>
              <w:rPr>
                <w:rFonts w:hint="eastAsia" w:ascii="Times New Roman" w:hAnsi="Times New Roman"/>
                <w:szCs w:val="24"/>
              </w:rPr>
              <w:t>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2×实时定量PCR扩增的预溶液，只需加入样品 DNA，引物和水即可快速高效完成 qPCR 反应。规格：5×1ml</w:t>
            </w:r>
            <w:r>
              <w:rPr>
                <w:rFonts w:ascii="Times New Roman" w:hAnsi="Times New Roman"/>
                <w:szCs w:val="24"/>
              </w:rPr>
              <w:t>/</w:t>
            </w:r>
            <w:r>
              <w:rPr>
                <w:rFonts w:hint="eastAsia"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GFAP 抗体（100µl）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w:t>
            </w:r>
            <w:r>
              <w:rPr>
                <w:rFonts w:hint="eastAsia" w:ascii="Times New Roman" w:hAnsi="Times New Roman"/>
                <w:szCs w:val="24"/>
              </w:rPr>
              <w:t>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单克隆抗体，检测GFAP蛋白水平，可用于WB。规格：100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w:t>
            </w:r>
            <w:r>
              <w:rPr>
                <w:rFonts w:hint="eastAsia"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Glutamax (100ml）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L-丙胺酰-谷氨酰胺溶液，液体，无菌，直接加入即可，用于细胞培养。规格：100ml/瓶。</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GSK3β ELISA Kit（96T）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双抗体夹心ELISA法,用于体外定量检测小鼠/人血清、血浆或其它相关生物液体中GSK3β 浓度。规格：96T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High Pure dNTPs(10mM each)</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1ml/管</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管</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dATP、dGTP、dCTP和dTTP的等摩尔混合物，纯度≥98%，不含RNase和DNase。规格：1ml/管。</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FGF-10</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10µg/支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人FGF-10蛋白，冻干粉，具生物活性。规格：10</w:t>
            </w:r>
            <w:r>
              <w:rPr>
                <w:rFonts w:ascii="Times New Roman" w:hAnsi="Times New Roman"/>
                <w:szCs w:val="24"/>
              </w:rPr>
              <w:t>µ</w:t>
            </w:r>
            <w:r>
              <w:rPr>
                <w:rFonts w:ascii="Times New Roman" w:hAnsi="Times New Roman"/>
                <w:color w:val="000000"/>
                <w:szCs w:val="24"/>
              </w:rPr>
              <w:t>g/支。</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KGF</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10µg/支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人KGF蛋白，冻干粉，具生物活性。规格：10</w:t>
            </w:r>
            <w:r>
              <w:rPr>
                <w:rFonts w:ascii="Times New Roman" w:hAnsi="Times New Roman"/>
                <w:szCs w:val="24"/>
              </w:rPr>
              <w:t>µ</w:t>
            </w:r>
            <w:r>
              <w:rPr>
                <w:rFonts w:ascii="Times New Roman" w:hAnsi="Times New Roman"/>
                <w:color w:val="000000"/>
                <w:szCs w:val="24"/>
              </w:rPr>
              <w:t>g/支。</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Noggin</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20µg/支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人Noggin蛋白，冻干粉，具生物活性。规格：20</w:t>
            </w:r>
            <w:r>
              <w:rPr>
                <w:rFonts w:ascii="Times New Roman" w:hAnsi="Times New Roman"/>
                <w:szCs w:val="24"/>
              </w:rPr>
              <w:t>µ</w:t>
            </w:r>
            <w:r>
              <w:rPr>
                <w:rFonts w:ascii="Times New Roman" w:hAnsi="Times New Roman"/>
                <w:color w:val="000000"/>
                <w:szCs w:val="24"/>
              </w:rPr>
              <w:t>g/支。</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RSPO1</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20µg/支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人RSPO1蛋白，冻干粉，具生物活性。规格：20</w:t>
            </w:r>
            <w:r>
              <w:rPr>
                <w:rFonts w:ascii="Times New Roman" w:hAnsi="Times New Roman"/>
                <w:szCs w:val="24"/>
              </w:rPr>
              <w:t>µ</w:t>
            </w:r>
            <w:r>
              <w:rPr>
                <w:rFonts w:ascii="Times New Roman" w:hAnsi="Times New Roman"/>
                <w:color w:val="000000"/>
                <w:szCs w:val="24"/>
              </w:rPr>
              <w:t>g/支。</w:t>
            </w:r>
          </w:p>
        </w:tc>
      </w:tr>
      <w:tr>
        <w:tblPrEx>
          <w:tblCellMar>
            <w:top w:w="0" w:type="dxa"/>
            <w:left w:w="108" w:type="dxa"/>
            <w:bottom w:w="0" w:type="dxa"/>
            <w:right w:w="108" w:type="dxa"/>
          </w:tblCellMar>
        </w:tblPrEx>
        <w:trPr>
          <w:trHeight w:val="27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 CD3/CD28 TCell Act, 2 mL人T细胞扩增激活剂</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w:t>
            </w:r>
            <w:r>
              <w:rPr>
                <w:rFonts w:ascii="Times New Roman" w:hAnsi="Times New Roman"/>
                <w:szCs w:val="24"/>
                <w:vertAlign w:val="superscript"/>
              </w:rPr>
              <w:t xml:space="preserve">8 </w:t>
            </w:r>
            <w:r>
              <w:rPr>
                <w:rFonts w:ascii="Times New Roman" w:hAnsi="Times New Roman"/>
                <w:szCs w:val="24"/>
              </w:rPr>
              <w:t>beads/mL/支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活化及扩增 T 细胞，无需饲养层细胞（抗原递呈细胞）或抗原,细胞培养过程中可使用重组人IL-2 刺激 T 细胞群扩增。活化或扩增后，磁珠可以通过磁力架轻松去除。规格：1×10</w:t>
            </w:r>
            <w:r>
              <w:rPr>
                <w:rFonts w:ascii="Times New Roman" w:hAnsi="Times New Roman"/>
                <w:color w:val="000000"/>
                <w:szCs w:val="24"/>
                <w:vertAlign w:val="superscript"/>
              </w:rPr>
              <w:t>8</w:t>
            </w:r>
            <w:r>
              <w:rPr>
                <w:rFonts w:ascii="Times New Roman" w:hAnsi="Times New Roman"/>
                <w:color w:val="000000"/>
                <w:szCs w:val="24"/>
              </w:rPr>
              <w:t xml:space="preserve"> beads/mL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 Cell Exp Medium, 500 mL人T细胞扩增培养基</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T细胞专用培养基，不含血清，不含异源成分，化学成分限定，在CD3/CD28抗体和IL-2的联合作用下，可支持外周血单个核细胞（PBMC）中T细胞的快速扩增。规格：500ml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IMPase ELISA Kit（96T）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双抗体夹心ELISA法,用于体外定量检测小鼠/人血清、血浆或其它相关生物液体中IMPase 浓度。规格：96T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INPP5E ELISA Kit（96T）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双抗体夹心ELISA法,用于体外定量检测小鼠/人血清、血浆或其它相关生物液体中INPP5E浓度。规格：96T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INPPP5E 抗体（100µ）</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多克隆抗体，检测INPPP5E 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LB固体培养基(干粉)</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250g/瓶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成分：10g胰蛋白胨，5g酵母提取物，10g NaCl，15g琼脂粉。使用时加入1000ml水，高压灭菌。规格：250g/瓶。</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LB液体培养基(干粉)</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250g/瓶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成分：胰蛋白胨10g、酵母提取物 5g、NaCl 10g、加1000ml水，高压灭菌。规格：250g/瓶。</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MEM培养基</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细胞培养基，用于培养多种单层生长的细胞，液体，无菌。规格：500ml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MSKl抗体（100µl）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单克隆抗体，检测MSKl蛋白水平，可用于WB。规格：100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MTT细胞增殖及细胞毒性检测试剂盒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500T/个</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黄色染料，被还原成甲臜结晶，在特定溶剂下溶解，灵敏度高，用来检测细胞活力、细胞增殖以及毒性分析。规格：500T</w:t>
            </w:r>
            <w:r>
              <w:rPr>
                <w:rFonts w:ascii="Times New Roman" w:hAnsi="Times New Roman"/>
                <w:szCs w:val="24"/>
              </w:rPr>
              <w:t>/个</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NeuN抗体（100µl）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单克隆抗体，检测MSKl蛋白水平，可用于WB。规格：100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Non-essential Amino Acids 100X</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液体，无菌，含多种非必须氨基酸，可直接使用的常用细胞培养添加剂，促进细胞生长和存活。规格：100ml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NPHPl抗体（100µl）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多克隆抗体，检测NPHPl蛋白水平，可用于WB。规格：100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PBS，pH 7.4 (1X) 细胞培养级</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无菌，即用型液体，pH为7.2-7.4，用于试剂配制和细胞培养。规格：500ml/瓶。</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PCR八排管（0.2ml）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125排/盒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透明聚丙烯，非灭菌,不含RNase/DNase,无热原，适合各种PCR仪。 125排/盒。</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PCR产物纯化试剂盒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1000次/盒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去除PCR反应体系以及各种反应体系（如酶切体系，连接体系等）中的dNTPs，多余的引物，缓冲体系和酶等，也可用作DNA的浓缩和纯化。规格：1000次</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PI3K抗体（100µl）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单克隆抗体，检测PI3K蛋白水平，可用于WB。规格：100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PIP2 ELISA Kit（96T）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双抗体夹心ELISA法,用于体外定量检测血清、血浆或其它相关生物液体中PIP2浓度。规格：96T/盒。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PIP3 ELISA Kit（96T）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双抗体夹心ELISA法,用于体外定量检测血清、血浆或其它相关生物液体中PIP3浓度。规格：96T/盒。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PIP5KIγ抗体（100µl）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单克隆抗体，检测PIP5KIγ蛋白水平，可用于WB。规格：100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Probe qPCR SuperMix</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1ml×25/个</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为优化的2x real-timePCR预混液，包含HotStart Taq DNA聚合酶、针对qPCR优化的最适反应Buffer、dNTPs、PCR稳定剂及增强剂。规格：1ml</w:t>
            </w:r>
            <w:r>
              <w:rPr>
                <w:rFonts w:ascii="Times New Roman" w:hAnsi="Times New Roman"/>
                <w:szCs w:val="24"/>
              </w:rPr>
              <w:t>×</w:t>
            </w:r>
            <w:r>
              <w:rPr>
                <w:rFonts w:ascii="Times New Roman" w:hAnsi="Times New Roman"/>
                <w:color w:val="000000"/>
                <w:szCs w:val="24"/>
              </w:rPr>
              <w:t>25</w:t>
            </w:r>
            <w:r>
              <w:rPr>
                <w:rFonts w:ascii="Times New Roman" w:hAnsi="Times New Roman"/>
                <w:szCs w:val="24"/>
              </w:rPr>
              <w:t>个</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PTEN ELISA Kit（96T）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双抗体夹心ELISA法,用于体外定量检测血清、血浆或其它相关生物液体中PTEN浓度。规格：96T/盒。</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PVDF膜（0.45UM）</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27cm</w:t>
            </w:r>
            <w:r>
              <w:rPr>
                <w:rFonts w:ascii="Times New Roman" w:hAnsi="Times New Roman"/>
                <w:szCs w:val="24"/>
              </w:rPr>
              <w:t xml:space="preserve"> </w:t>
            </w:r>
            <w:r>
              <w:rPr>
                <w:rFonts w:hint="eastAsia" w:ascii="Times New Roman" w:hAnsi="Times New Roman"/>
                <w:szCs w:val="24"/>
              </w:rPr>
              <w:t>X</w:t>
            </w:r>
            <w:r>
              <w:rPr>
                <w:rFonts w:ascii="Times New Roman" w:hAnsi="Times New Roman"/>
                <w:szCs w:val="24"/>
              </w:rPr>
              <w:t xml:space="preserve"> </w:t>
            </w:r>
            <w:r>
              <w:rPr>
                <w:rFonts w:hint="eastAsia" w:ascii="Times New Roman" w:hAnsi="Times New Roman"/>
                <w:szCs w:val="24"/>
              </w:rPr>
              <w:t>1.875m/盒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聚偏氟乙烯，孔径0.45μm。用于电泳凝胶电泳蛋白（或纯化蛋白样品的点结合）后的直接蛋白（分子量≤20,000的蛋白）测序和免疫检测，兼容储水罐和半干法电印迹系统。</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Ribonuclease Inhibitor</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10KU/包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特异性抑制 RNase A、B、C 三种酶的活性，规格：10KU</w:t>
            </w:r>
            <w:r>
              <w:rPr>
                <w:rFonts w:ascii="Times New Roman" w:hAnsi="Times New Roman"/>
                <w:szCs w:val="24"/>
              </w:rPr>
              <w:t>/包</w:t>
            </w:r>
            <w:r>
              <w:rPr>
                <w:rFonts w:ascii="Times New Roman" w:hAnsi="Times New Roman"/>
                <w:color w:val="000000"/>
                <w:szCs w:val="24"/>
              </w:rPr>
              <w:t>。</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RNA保存管</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10管×20/箱</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每管中含有5 ml RNA样本保存液，新型的RNA稳定试剂，可迅速渗入组织保护RNA，可直接保存小体积的新鲜组织样品。规格：10管</w:t>
            </w:r>
            <w:r>
              <w:rPr>
                <w:rFonts w:ascii="Times New Roman" w:hAnsi="Times New Roman"/>
                <w:szCs w:val="24"/>
              </w:rPr>
              <w:t>×</w:t>
            </w:r>
            <w:r>
              <w:rPr>
                <w:rFonts w:ascii="Times New Roman" w:hAnsi="Times New Roman"/>
                <w:color w:val="000000"/>
                <w:szCs w:val="24"/>
              </w:rPr>
              <w:t>20/箱。</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RNA提取试剂盒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快速从动物组织、细胞、细菌等样本中提取高纯度总RNA，总 RNA（18S/28S）完整，可保留大部分小RNA。提取的RNA完整性好，适用于RT-PCR、qRT-PCR、Northern Blot及转录组测序等下游实验。规格：100T/盒。</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RNA专用建库试剂盒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针对Illumina高通量测序平台的转座酶法RNA建库试剂超快速的RNA建库流程，建库时长短至2 h，可兼容对5 ng - 20 ng的Total RNA建库。规格：24T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分选用buffer 250ml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液体，包含DPBS，牛血清白蛋白或者胎牛血清，EDTA，用于细胞分选。规格：250ml/瓶。</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RPMI 1640（500ml）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液体，过滤无菌，用于细胞培养。规格：500ml/瓶。</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RT-PCR 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以RNA为模板，使用基因特异性引物,预混的Mix,逆转录和定量PCR在同一反应管中进行。规格：100T/盒。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SB 202190</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100mg/瓶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选择性的 p38 MAPK 抑制剂，粉末，纯度≥99%。规格：100mg</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SDS-PAGE凝胶配制试剂盒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125 Gels/盒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331515"/>
                <w:szCs w:val="24"/>
              </w:rPr>
            </w:pPr>
            <w:r>
              <w:rPr>
                <w:rFonts w:ascii="Times New Roman" w:hAnsi="Times New Roman"/>
                <w:color w:val="331515"/>
                <w:szCs w:val="24"/>
              </w:rPr>
              <w:t>采用上层胶和下层胶预混液形式的配方，只需将试剂两两混合，加入促凝剂即可凝胶。规格：125 Gels/盒。</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T4 Polynucleotide Kinase（250U）</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2,500 units/支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D对 DNA 或 RNA 进行 5' 磷酸化，以便进行连接反应，NA 或 RNA 的末端标记，用作探针和进行 DNA 测序。规格：2,500 units</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Taq高保真DNA聚合酶</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Taq 高保真 DNA 连接酶是经过优化的混合物，由热稳定 DNA 连接酶和专有添加剂组成，能连接 DNA 切刻位点。规格：50T</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TBS/Tween缓冲液 （10×，500ml）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10×浓缩的等渗缓冲盐溶液，要用于 Western Blot 实验中洗去膜上非特异性结合的抗体等试剂。规格：500ml/瓶。</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TMEM231抗体（100µl）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单多隆抗体，检测TMEM231蛋白水平，可用于WB。规格：100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5k DNA Marker</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25×500µl/袋</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由8条线状双链DNA条带组成，适用于琼脂糖凝胶电泳中DNA条带的分析,含有1×Loading Buffer。规格：25</w:t>
            </w:r>
            <w:r>
              <w:rPr>
                <w:rFonts w:ascii="Times New Roman" w:hAnsi="Times New Roman"/>
                <w:szCs w:val="24"/>
              </w:rPr>
              <w:t>×</w:t>
            </w:r>
            <w:r>
              <w:rPr>
                <w:rFonts w:ascii="Times New Roman" w:hAnsi="Times New Roman"/>
                <w:color w:val="000000"/>
                <w:szCs w:val="24"/>
              </w:rPr>
              <w:t>500</w:t>
            </w:r>
            <w:r>
              <w:rPr>
                <w:rFonts w:ascii="Times New Roman" w:hAnsi="Times New Roman"/>
                <w:szCs w:val="24"/>
              </w:rPr>
              <w:t>µ</w:t>
            </w:r>
            <w:r>
              <w:rPr>
                <w:rFonts w:ascii="Times New Roman" w:hAnsi="Times New Roman"/>
                <w:color w:val="000000"/>
                <w:szCs w:val="24"/>
              </w:rPr>
              <w:t>l/袋。</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5α Chemically Competent Cell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10×100 µl/包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用于DNA的化学转化。规格：10×100 µl</w:t>
            </w:r>
            <w:r>
              <w:rPr>
                <w:rFonts w:ascii="Times New Roman" w:hAnsi="Times New Roman"/>
                <w:szCs w:val="24"/>
              </w:rPr>
              <w:t>/包</w:t>
            </w:r>
            <w:r>
              <w:rPr>
                <w:rFonts w:ascii="Times New Roman" w:hAnsi="Times New Roman"/>
                <w:color w:val="000000"/>
                <w:szCs w:val="24"/>
              </w:rPr>
              <w:t>。</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 Marker 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5×500 µl/袋</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4437" w:type="dxa"/>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由7条线状双链DNA条带组成，适用于琼脂糖凝胶电泳中DNA条带的分析，含有1×Loading Buffer。规格：5×500 µl/袋。</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 Marker ll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5×500 µl/袋</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由7条线状双链DNA条带组成，适用于琼脂糖凝胶电泳中DNA条带的分析，含有1×Loading Buffer。规格：5×500 µl/袋。</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Green One-Step qRT-PCR SuperMix</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400×20 µl/袋</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有高灵敏度、高效合成效率和高扩增效率的一步法qRT-PCR试剂盒，在同一反应体系中一步完成从反转录到qPCR的全部反应。规格：400×20 µl/袋。</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嵌套，含12孔板</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48嵌套/箱</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无菌，PET膜，0.4 µm，含12孔板，规格：48嵌套/箱。</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嵌套，含12孔板（PC膜，12mm，0.4um)</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 xml:space="preserve">12嵌套/块 </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无菌，PC膜，0.4 µm，含12孔板，规格： 12嵌套/块 。</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嵌套，含24孔板</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 xml:space="preserve"> 48嵌套/箱</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无菌，PC膜，3 µm，含24孔板，规格： 48嵌套/箱。</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总RNA提取试剂</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即用型试剂，一步法总RNA分离试剂，可实现有效的总RNA提取或同时分离RNA、DNA和蛋白质。可从各种组织样品和细胞中分离总RNA。规格：500ml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Ultra SYBR Mixture（Low ROX）</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40ml/</w:t>
            </w:r>
            <w:r>
              <w:rPr>
                <w:rFonts w:hint="eastAsia" w:ascii="Times New Roman" w:hAnsi="Times New Roman"/>
                <w:szCs w:val="24"/>
              </w:rPr>
              <w:t>个</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用于染料法（SYBR Green I）实时荧光定量PCR的预混体系，浓度为2×，包含 GoldStar Taq DNA Polymerase、PCR Buffer、dNTPs、SYBR Green I 荧光染料和Mg2+和Low ROX校正染料。规格：40ml</w:t>
            </w:r>
            <w:r>
              <w:rPr>
                <w:rFonts w:ascii="Times New Roman" w:hAnsi="Times New Roman"/>
                <w:szCs w:val="24"/>
              </w:rPr>
              <w:t>/</w:t>
            </w:r>
            <w:r>
              <w:rPr>
                <w:rFonts w:hint="eastAsia" w:ascii="Times New Roman" w:hAnsi="Times New Roman"/>
                <w:szCs w:val="24"/>
              </w:rPr>
              <w:t>个</w:t>
            </w:r>
            <w:r>
              <w:rPr>
                <w:rFonts w:ascii="Times New Roman" w:hAnsi="Times New Roman"/>
                <w:color w:val="000000"/>
                <w:szCs w:val="24"/>
              </w:rPr>
              <w:t>。</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WB抗体快速剥离缓冲液（ 温和通用型）（500ml）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将一抗从结合的膜中剥离，使得膜可用一种新的一抗进行重新检测。规格：500ml/瓶。</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Y-27632</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10mg/瓶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粉末，有效的选择性ROCK抑制剂。规格：10mg</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β-catenin抗体（100µl）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单克隆抗体，检测β-catenin蛋白水平，可用于WB。规格：100</w:t>
            </w:r>
            <w:r>
              <w:rPr>
                <w:rFonts w:ascii="Times New Roman" w:hAnsi="Times New Roman"/>
                <w:szCs w:val="24"/>
              </w:rPr>
              <w:t>µ</w:t>
            </w:r>
            <w:r>
              <w:rPr>
                <w:rFonts w:ascii="Times New Roman" w:hAnsi="Times New Roman"/>
                <w:color w:val="000000"/>
                <w:szCs w:val="24"/>
              </w:rPr>
              <w:t>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超纯水（500ml）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无菌超纯水，用于试剂的配制。规格：500ml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低生长因子基质胶，无酚红</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可溶性基底膜制剂，可用于细胞形态、生化功能、迁移、侵袭和基因表达研究。规格：10ml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电泳液（500ml）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基于常规Tris-Gly缓冲系统上进行改良的SDS-PAGE快速电泳缓冲液。可使获得的蛋白条带锐利清晰，无拖带。规格：500ml/瓶。</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凋亡检测试剂盒（100T）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FITC-Annexin V 结合到凋亡细胞后，在蓝色光的激发下，发出绿色荧光，区分出凋亡细胞与正常细胞。将FITC-Annexin V 与PI 匹配使用，可以将凋亡早期的细胞和晚期的细胞区分开。规格：100T/盒。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定量PCR预混液</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100T/个</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以RNA为模板进行单重或多重定量PCR反应的一管式全预混液，逆转录和定量PCR在同一反应管中进行。规格：100T</w:t>
            </w:r>
            <w:r>
              <w:rPr>
                <w:rFonts w:ascii="Times New Roman" w:hAnsi="Times New Roman"/>
                <w:szCs w:val="24"/>
              </w:rPr>
              <w:t>/个</w:t>
            </w:r>
            <w:r>
              <w:rPr>
                <w:rFonts w:ascii="Times New Roman" w:hAnsi="Times New Roman"/>
                <w:color w:val="000000"/>
                <w:szCs w:val="24"/>
              </w:rPr>
              <w:t>。</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冻存管1.8mL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50个/包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材质为聚丙烯，无菌，无DNA酶，无RNA酶，无内毒素，可反复冻融。圆底可立，有刻度，1.8ml，工作温度</w:t>
            </w:r>
            <w:r>
              <w:rPr>
                <w:rFonts w:hint="eastAsia" w:ascii="Times New Roman" w:hAnsi="Times New Roman"/>
                <w:color w:val="000000"/>
                <w:szCs w:val="24"/>
              </w:rPr>
              <w:t>≤</w:t>
            </w:r>
            <w:r>
              <w:rPr>
                <w:rFonts w:ascii="Times New Roman" w:hAnsi="Times New Roman"/>
                <w:color w:val="000000"/>
                <w:szCs w:val="24"/>
              </w:rPr>
              <w:t>-196</w:t>
            </w:r>
            <w:r>
              <w:rPr>
                <w:rFonts w:hint="eastAsia" w:ascii="Times New Roman" w:hAnsi="Times New Roman"/>
                <w:color w:val="000000"/>
                <w:szCs w:val="24"/>
              </w:rPr>
              <w:t>℃</w:t>
            </w:r>
            <w:r>
              <w:rPr>
                <w:rFonts w:ascii="Times New Roman" w:hAnsi="Times New Roman"/>
                <w:color w:val="000000"/>
                <w:szCs w:val="24"/>
              </w:rPr>
              <w:t>。规格：50个/包。</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冻存管5mL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50个/包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材质为聚丙烯，无菌，无DNA酶，无RNA酶，无内毒素，可反复冻融。圆底可立，有刻度，5ml，工作温度</w:t>
            </w:r>
            <w:r>
              <w:rPr>
                <w:rFonts w:hint="eastAsia" w:ascii="Times New Roman" w:hAnsi="Times New Roman"/>
                <w:color w:val="000000"/>
                <w:szCs w:val="24"/>
              </w:rPr>
              <w:t>≤</w:t>
            </w:r>
            <w:r>
              <w:rPr>
                <w:rFonts w:ascii="Times New Roman" w:hAnsi="Times New Roman"/>
                <w:color w:val="000000"/>
                <w:szCs w:val="24"/>
              </w:rPr>
              <w:t>-196</w:t>
            </w:r>
            <w:r>
              <w:rPr>
                <w:rFonts w:hint="eastAsia" w:ascii="Times New Roman" w:hAnsi="Times New Roman"/>
                <w:color w:val="000000"/>
                <w:szCs w:val="24"/>
              </w:rPr>
              <w:t>℃</w:t>
            </w:r>
            <w:r>
              <w:rPr>
                <w:rFonts w:ascii="Times New Roman" w:hAnsi="Times New Roman"/>
                <w:color w:val="000000"/>
                <w:szCs w:val="24"/>
              </w:rPr>
              <w:t>。规格：50个/包。</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冻存盒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81格/个</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材料为聚丙烯，容量1.8ml/2ml,81格，用于样本冻存。规格：81格/个。</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反转录试剂盒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采用M-MLV进行反转录反应，获得较长的反转录产物用于后续的PCR扩增和分子克隆实验。规格：100T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封固剂withDAPI</w:t>
            </w:r>
          </w:p>
          <w:p>
            <w:pPr>
              <w:widowControl/>
              <w:autoSpaceDE/>
              <w:autoSpaceDN/>
              <w:spacing w:after="0" w:line="240" w:lineRule="auto"/>
              <w:jc w:val="center"/>
              <w:rPr>
                <w:rFonts w:ascii="Times New Roman" w:hAnsi="Times New Roman"/>
                <w:szCs w:val="24"/>
              </w:rPr>
            </w:pPr>
            <w:r>
              <w:rPr>
                <w:rFonts w:ascii="Times New Roman" w:hAnsi="Times New Roman"/>
                <w:szCs w:val="24"/>
              </w:rPr>
              <w:t>（100ml）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减缓荧光衰减的封片试剂</w:t>
            </w:r>
            <w:r>
              <w:rPr>
                <w:rFonts w:hint="eastAsia" w:ascii="Times New Roman" w:hAnsi="Times New Roman"/>
                <w:color w:val="000000"/>
                <w:szCs w:val="24"/>
              </w:rPr>
              <w:t>，</w:t>
            </w:r>
            <w:r>
              <w:rPr>
                <w:rFonts w:ascii="Times New Roman" w:hAnsi="Times New Roman"/>
                <w:color w:val="000000"/>
                <w:szCs w:val="24"/>
              </w:rPr>
              <w:t>含抗荧光衰减剂，内含染料DAPI，便于样本的保存和荧光显微镜下观察。规格：100ml</w:t>
            </w:r>
            <w:r>
              <w:rPr>
                <w:rFonts w:ascii="Times New Roman" w:hAnsi="Times New Roman"/>
                <w:szCs w:val="24"/>
              </w:rPr>
              <w:t>/支</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封口膜</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 mm × 38 m</w:t>
            </w:r>
            <w:r>
              <w:rPr>
                <w:rFonts w:hint="eastAsia" w:ascii="Times New Roman" w:hAnsi="Times New Roman"/>
                <w:szCs w:val="24"/>
              </w:rPr>
              <w:t>/</w:t>
            </w:r>
            <w:r>
              <w:rPr>
                <w:rFonts w:ascii="Times New Roman" w:hAnsi="Times New Roman"/>
                <w:szCs w:val="24"/>
              </w:rPr>
              <w:t>卷</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卷</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热塑性自封薄膜，双层，半透明，防水，耐高温，无色无味。可以自动封口、可模压，用于对瓶口进行密封。规格：1卷。</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海肾萤光素酶报告基因检测试剂盒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萤光素酶能催化底物萤光素的转化，并发射出光子，进行报告基因的检测。规格：50T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核酸染料（0.5ml）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≥0.5ml/支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用于预制凝胶也可用于电泳后染色。成分：红色或者绿色荧光素。规格：≥0.5ml/支。</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痕量DNA建库试剂盒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可以将100 pg - 1 μg片段化后的双链Input DNA转换成高通量测序平台专用文库，适用于多种样本的PCR或PCR-Free文库构建，且兼容靶向捕获流程。规格：24T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化学发光底物（500ml）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500ml/套</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套</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用于过蛋白质免疫印迹分析蛋白检测；灵敏度：皮克至飞克级。信号持续时间：6-24h。规格：500ml/套。</w:t>
            </w:r>
          </w:p>
        </w:tc>
      </w:tr>
      <w:tr>
        <w:tblPrEx>
          <w:tblCellMar>
            <w:top w:w="0" w:type="dxa"/>
            <w:left w:w="108" w:type="dxa"/>
            <w:bottom w:w="0" w:type="dxa"/>
            <w:right w:w="108" w:type="dxa"/>
          </w:tblCellMar>
        </w:tblPrEx>
        <w:trPr>
          <w:trHeight w:val="312"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肌醇（1G）</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1g</w:t>
            </w:r>
            <w:r>
              <w:rPr>
                <w:rFonts w:hint="eastAsia" w:ascii="Times New Roman" w:hAnsi="Times New Roman"/>
                <w:szCs w:val="24"/>
              </w:rPr>
              <w:t>/瓶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标准物质，纯度99.9%，规格：1g。</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基因组DNA提取试剂盒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适用样品类型细胞、血液和组织（包括脂肪和纤维组织）。</w:t>
            </w:r>
            <w:r>
              <w:rPr>
                <w:rFonts w:ascii="Times New Roman" w:hAnsi="Times New Roman"/>
                <w:color w:val="000000"/>
                <w:szCs w:val="24"/>
              </w:rPr>
              <w:br w:type="textWrapping"/>
            </w:r>
            <w:r>
              <w:rPr>
                <w:rFonts w:ascii="Times New Roman" w:hAnsi="Times New Roman"/>
                <w:color w:val="000000"/>
                <w:szCs w:val="24"/>
              </w:rPr>
              <w:t>可分离出高分子量gDNA（典型峰值≥ 50 kb），RNA污染≤1%。含有RNase A，Proteinase。规格：100T/盒。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建库接头试剂盒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w:t>
            </w:r>
            <w:r>
              <w:rPr>
                <w:rFonts w:ascii="Times New Roman" w:hAnsi="Times New Roman"/>
                <w:color w:val="000000"/>
                <w:szCs w:val="24"/>
              </w:rPr>
              <w:t>μ</w:t>
            </w:r>
            <w:r>
              <w:rPr>
                <w:rFonts w:ascii="Times New Roman" w:hAnsi="Times New Roman"/>
                <w:szCs w:val="24"/>
              </w:rPr>
              <w:t>l/盒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Illumina平台RNA建库系列配套专用接头,提供24种Index接头。规格:40μl</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接种环10</w:t>
            </w:r>
            <w:r>
              <w:rPr>
                <w:rFonts w:ascii="Times New Roman" w:hAnsi="Times New Roman"/>
                <w:color w:val="000000"/>
                <w:szCs w:val="24"/>
              </w:rPr>
              <w:t>μ</w:t>
            </w:r>
            <w:r>
              <w:rPr>
                <w:rFonts w:ascii="Times New Roman" w:hAnsi="Times New Roman"/>
                <w:szCs w:val="24"/>
              </w:rPr>
              <w:t>l灭菌</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r>
              <w:rPr>
                <w:rFonts w:ascii="Times New Roman" w:hAnsi="Times New Roman"/>
                <w:color w:val="000000"/>
                <w:szCs w:val="24"/>
              </w:rPr>
              <w:t>μ</w:t>
            </w:r>
            <w:r>
              <w:rPr>
                <w:rFonts w:ascii="Times New Roman" w:hAnsi="Times New Roman"/>
                <w:szCs w:val="24"/>
              </w:rPr>
              <w:t>l</w:t>
            </w:r>
            <w:r>
              <w:rPr>
                <w:rFonts w:hint="eastAsia" w:ascii="Times New Roman" w:hAnsi="Times New Roman"/>
                <w:szCs w:val="24"/>
              </w:rPr>
              <w:t>/个</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材质聚苯乙烯，经伽马射线消毒，10μl接种环，自封口袋包装，可提供独立包装，接种环表面平滑便于快速移动</w:t>
            </w:r>
            <w:r>
              <w:rPr>
                <w:rFonts w:hint="eastAsia"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离心管(15ml)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500支/箱</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材质为透明聚丙烯，无菌，带刻度，15ml，用于样本处理。规格：500支/箱。</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离心管（50ml）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500支/箱</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材质为透明聚丙烯，无菌，带刻度，50ml，用于样本处理。规格：500支/箱。</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免冰浴快速转膜缓冲液 ( 10×，500ml）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快速转印配方，15~40min即可完成Western Blot湿转法转膜。配制过程中，可用无水乙醇替代甲醇，转膜全程产热量小，无需冰浴。规格：500ml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免疫组化封闭试剂（500ml）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封闭血清适用于免疫组化或者免疫荧光实验中样本的封闭，阻断抗体与样品中的Fc受体结合，从而降低背景。规格：500ml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免疫组化固定/通透化处理试剂盒（96T）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采用ABC系统的抗生物素-生物素技术, 可用于IHC、ICC、原位杂交、WB、Elispot、ELISAs ABC。ABC试剂在形成后保持稳定数小时，并可在制备后使用数天。规格：96T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逆转录试剂盒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可合成cDNA，生成的cDNA适用于多种应用，包括实时PCR、标准PCR和微阵列。规格：100T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琼脂糖（100G）</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100g/瓶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可分离100 bp-30 kb的DNA和RNA片段，用于凝胶电泳或印迹进行核酸分析。规格：100g/瓶。</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人脑膜原代细胞</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5×10</w:t>
            </w:r>
            <w:r>
              <w:rPr>
                <w:rFonts w:ascii="Times New Roman" w:hAnsi="Times New Roman" w:cs="Cambria Math"/>
                <w:color w:val="000000"/>
                <w:szCs w:val="24"/>
              </w:rPr>
              <w:t>⁵</w:t>
            </w:r>
            <w:r>
              <w:rPr>
                <w:rFonts w:ascii="Times New Roman" w:hAnsi="Times New Roman"/>
                <w:color w:val="000000"/>
                <w:szCs w:val="24"/>
              </w:rPr>
              <w:t xml:space="preserve"> cells/瓶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原代细胞，分离自脑膜组织，不含有HIV-1、HBV、HCV、支原体、细菌、酵母和真菌等。细胞总量约为5×10</w:t>
            </w:r>
            <w:r>
              <w:rPr>
                <w:rFonts w:ascii="Times New Roman" w:hAnsi="Times New Roman" w:cs="Cambria Math"/>
                <w:color w:val="000000"/>
                <w:szCs w:val="24"/>
              </w:rPr>
              <w:t>⁵</w:t>
            </w:r>
            <w:r>
              <w:rPr>
                <w:rFonts w:ascii="Times New Roman" w:hAnsi="Times New Roman"/>
                <w:color w:val="000000"/>
                <w:szCs w:val="24"/>
              </w:rPr>
              <w:t xml:space="preserve"> cells/瓶。</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实时荧光DNA扩增</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2500 rxns/盒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探针法定量PCR检测试剂盒，基于热启动的AceTaq DNA Polymerase。规格：2500 rxns</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速溶型蛋白上样缓冲液</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15×1ml/袋</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蛋白质SDS-PAGE电泳时的蛋白上样操作，15</w:t>
            </w:r>
            <w:r>
              <w:rPr>
                <w:rFonts w:ascii="Times New Roman" w:hAnsi="Times New Roman"/>
                <w:szCs w:val="24"/>
              </w:rPr>
              <w:t>×</w:t>
            </w:r>
            <w:r>
              <w:rPr>
                <w:rFonts w:ascii="Times New Roman" w:hAnsi="Times New Roman"/>
                <w:color w:val="000000"/>
                <w:szCs w:val="24"/>
              </w:rPr>
              <w:t>1ml/袋。</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胎牛血清（500ml）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用于细胞培养，0.1um无菌过滤≥3次；严格QC标准进行微生物、内毒素、血红蛋白、IgG含量等多项检测，经过细胞培养验证</w:t>
            </w:r>
            <w:r>
              <w:rPr>
                <w:rFonts w:hint="eastAsia" w:ascii="Times New Roman" w:hAnsi="Times New Roman"/>
                <w:color w:val="000000"/>
                <w:szCs w:val="24"/>
              </w:rPr>
              <w:t>（需提供产品说明书等佐证材料）</w:t>
            </w:r>
            <w:r>
              <w:rPr>
                <w:rFonts w:ascii="Times New Roman" w:hAnsi="Times New Roman"/>
                <w:color w:val="000000"/>
                <w:szCs w:val="24"/>
              </w:rPr>
              <w:t>。规格：500ml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特异性核酸扩增指示剂</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10mg/瓶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szCs w:val="24"/>
              </w:rPr>
            </w:pPr>
            <w:r>
              <w:rPr>
                <w:rFonts w:ascii="Times New Roman" w:hAnsi="Times New Roman"/>
                <w:szCs w:val="24"/>
              </w:rPr>
              <w:t>用于LAMP。反应产生的焦磷酸根与锰离子结合，解除钙黄绿素的淬灭状态，使其与镁离子结合发出绿色荧光。规格：10mg/瓶。</w:t>
            </w:r>
          </w:p>
        </w:tc>
      </w:tr>
      <w:tr>
        <w:tblPrEx>
          <w:tblCellMar>
            <w:top w:w="0" w:type="dxa"/>
            <w:left w:w="108" w:type="dxa"/>
            <w:bottom w:w="0" w:type="dxa"/>
            <w:right w:w="108" w:type="dxa"/>
          </w:tblCellMar>
        </w:tblPrEx>
        <w:trPr>
          <w:trHeight w:val="1872"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通用建库试剂盒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片段化酶法DNA文库构建试剂盒，将DNA片段化、末端修复以及末端加dA尾合并为一步，产物无需纯化，直接进行接头连接、文库富集和分选，可将1 ng - 1 μg模板DNA转换成适配Illumina或MGI 测序平台的专用文库。规格：24T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通用型DNA回收试剂盒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可用作 DNA 产物直接纯化、DNA 凝胶回收。可回收 100 bp- 8 kb 大小的 DNA 片段，回收率≥80%，回收的 DNA 可直接用于连接、转化、酶切、测序等分子生物学实验。规格200T/盒。</w:t>
            </w:r>
          </w:p>
        </w:tc>
      </w:tr>
      <w:tr>
        <w:tblPrEx>
          <w:tblCellMar>
            <w:top w:w="0" w:type="dxa"/>
            <w:left w:w="108" w:type="dxa"/>
            <w:bottom w:w="0" w:type="dxa"/>
            <w:right w:w="108" w:type="dxa"/>
          </w:tblCellMar>
        </w:tblPrEx>
        <w:trPr>
          <w:trHeight w:val="1872"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脱氧核糖核酸恒温扩增试剂盒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4×48T/盒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采用重组酶介导等温核酸扩增技术对目标核酸序列进行扩增，并通过荧光探针法进行实时检测。以样本DNA / RNA为模板，在等温条件下(37~42℃)，5～15分钟即可实现对目的基因片段的扩增检测。规格4</w:t>
            </w:r>
            <w:r>
              <w:rPr>
                <w:rFonts w:ascii="Times New Roman" w:hAnsi="Times New Roman"/>
                <w:szCs w:val="24"/>
              </w:rPr>
              <w:t>×</w:t>
            </w:r>
            <w:r>
              <w:rPr>
                <w:rFonts w:ascii="Times New Roman" w:hAnsi="Times New Roman"/>
                <w:color w:val="000000"/>
                <w:szCs w:val="24"/>
              </w:rPr>
              <w:t>48T/盒。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脱脂奶粉（100G）</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100g/瓶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粉末，类白色或者黄色，纯度≥99%，用于封闭。规格：100g</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无蛋白快速封闭液 （1×，500ml）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即用型、高效快速 Western 封闭液，无蛋白配方。规格：500ml</w:t>
            </w:r>
            <w:r>
              <w:rPr>
                <w:rFonts w:ascii="Times New Roman" w:hAnsi="Times New Roman"/>
                <w:szCs w:val="24"/>
              </w:rPr>
              <w:t>/瓶</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无菌带滤芯吸头(1000μL，10×96T)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10×96支/盒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材料为透明聚丙烯，1000μl，不含RNase/DNase，无热源。带滤芯。规格：10</w:t>
            </w:r>
            <w:r>
              <w:rPr>
                <w:rFonts w:ascii="Times New Roman" w:hAnsi="Times New Roman"/>
                <w:szCs w:val="24"/>
              </w:rPr>
              <w:t>×</w:t>
            </w:r>
            <w:r>
              <w:rPr>
                <w:rFonts w:ascii="Times New Roman" w:hAnsi="Times New Roman"/>
                <w:color w:val="000000"/>
                <w:szCs w:val="24"/>
              </w:rPr>
              <w:t>96支/盒。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无菌带滤芯吸头(100μL，10×96T)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10×96支/盒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材料为透明聚丙烯，200μl，不含RNase/DNase，无热源。带滤芯。规格：10</w:t>
            </w:r>
            <w:r>
              <w:rPr>
                <w:rFonts w:ascii="Times New Roman" w:hAnsi="Times New Roman"/>
                <w:szCs w:val="24"/>
              </w:rPr>
              <w:t>×</w:t>
            </w:r>
            <w:r>
              <w:rPr>
                <w:rFonts w:ascii="Times New Roman" w:hAnsi="Times New Roman"/>
                <w:color w:val="000000"/>
                <w:szCs w:val="24"/>
              </w:rPr>
              <w:t>96支/盒。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无菌带滤芯吸头(10μL，10×96T)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10×96支/盒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材料为透明聚丙烯，10μl，不含RNase/DNase，无热源。带滤芯。规格：10</w:t>
            </w:r>
            <w:r>
              <w:rPr>
                <w:rFonts w:ascii="Times New Roman" w:hAnsi="Times New Roman"/>
                <w:szCs w:val="24"/>
              </w:rPr>
              <w:t>×</w:t>
            </w:r>
            <w:r>
              <w:rPr>
                <w:rFonts w:ascii="Times New Roman" w:hAnsi="Times New Roman"/>
                <w:color w:val="000000"/>
                <w:szCs w:val="24"/>
              </w:rPr>
              <w:t>96支/盒。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无菌离心管（0.5ml）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材质透明聚丙烯，无DNA\RNA酶，无菌，无热源，具刻度，规格1000支/盒。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无菌离心管（1.5ml）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材质为透明聚丙烯，不含RNase /DNase，无菌，无热源，规格500支/盒。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无菌吸头（0.01ml）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10×</w:t>
            </w: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4437" w:type="dxa"/>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材料为透明聚丙烯，无菌，无DNA\RNA酶。规格10×96T/盒。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无菌吸头（0.2ml）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10×</w:t>
            </w: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4437" w:type="dxa"/>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材料为透明聚丙烯，无菌，无DNA\RNA酶。规格10×96T/盒。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无菌吸头（1ml）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10×</w:t>
            </w:r>
            <w:r>
              <w:rPr>
                <w:rFonts w:ascii="Times New Roman" w:hAnsi="Times New Roman"/>
                <w:szCs w:val="24"/>
              </w:rPr>
              <w:t>96T/盒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70</w:t>
            </w:r>
          </w:p>
        </w:tc>
        <w:tc>
          <w:tcPr>
            <w:tcW w:w="4437" w:type="dxa"/>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材料为透明聚丙烯，无菌，无DNA\RNA酶。规格10×96T/盒。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吸头（10μL）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材料为透明聚丙烯，非无菌，可高压灭菌。规格：1000支/包。</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细胞培养板（12孔）</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12孔/块</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聚苯乙烯，TC处理，辐照灭菌，无DNase，RNase，无热原，独立包装，用于细胞培养，规格：12孔</w:t>
            </w:r>
            <w:r>
              <w:rPr>
                <w:rFonts w:ascii="Times New Roman" w:hAnsi="Times New Roman"/>
                <w:szCs w:val="24"/>
              </w:rPr>
              <w:t>/块</w:t>
            </w:r>
            <w:r>
              <w:rPr>
                <w:rFonts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细胞培养板（24孔）</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24孔/块</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聚苯乙烯，TC处理，辐照灭菌，无DNase，RNase，无热原，独立包装，用于细胞培养，规格：24孔</w:t>
            </w:r>
            <w:r>
              <w:rPr>
                <w:rFonts w:ascii="Times New Roman" w:hAnsi="Times New Roman"/>
                <w:szCs w:val="24"/>
              </w:rPr>
              <w:t>/块</w:t>
            </w:r>
            <w:r>
              <w:rPr>
                <w:rFonts w:ascii="Times New Roman" w:hAnsi="Times New Roman"/>
                <w:color w:val="000000"/>
                <w:szCs w:val="24"/>
              </w:rPr>
              <w:t>。</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细胞培养板（6孔）</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6孔/50块/箱</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聚苯乙烯，TC处理，辐照灭菌，无DNase，RNase，无热原，独立包装，用于细胞培养，规格：6孔/50块/箱。</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细胞培养板（96孔）</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96孔/块</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聚苯乙烯，TC处理，辐照灭菌，无DNase，RNase，无热原，独立包装，用于细胞培养，规格：96孔</w:t>
            </w:r>
            <w:r>
              <w:rPr>
                <w:rFonts w:ascii="Times New Roman" w:hAnsi="Times New Roman"/>
                <w:szCs w:val="24"/>
              </w:rPr>
              <w:t>/块</w:t>
            </w:r>
            <w:r>
              <w:rPr>
                <w:rFonts w:ascii="Times New Roman" w:hAnsi="Times New Roman"/>
                <w:color w:val="000000"/>
                <w:szCs w:val="24"/>
              </w:rPr>
              <w:t>。</w:t>
            </w:r>
          </w:p>
        </w:tc>
      </w:tr>
      <w:tr>
        <w:tblPrEx>
          <w:tblCellMar>
            <w:top w:w="0" w:type="dxa"/>
            <w:left w:w="108" w:type="dxa"/>
            <w:bottom w:w="0" w:type="dxa"/>
            <w:right w:w="108" w:type="dxa"/>
          </w:tblCellMar>
        </w:tblPrEx>
        <w:trPr>
          <w:trHeight w:val="672"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细胞培养瓶（T25）</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20个/包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材质为透明纯聚苯乙烯，无菌，无热源。25cm</w:t>
            </w:r>
            <w:r>
              <w:rPr>
                <w:rFonts w:ascii="Times New Roman" w:hAnsi="Times New Roman"/>
                <w:color w:val="000000"/>
                <w:szCs w:val="24"/>
                <w:vertAlign w:val="superscript"/>
              </w:rPr>
              <w:t>2</w:t>
            </w:r>
            <w:r>
              <w:rPr>
                <w:rFonts w:ascii="Times New Roman" w:hAnsi="Times New Roman"/>
                <w:color w:val="000000"/>
                <w:szCs w:val="24"/>
              </w:rPr>
              <w:t>。规格：20个/包。</w:t>
            </w:r>
          </w:p>
        </w:tc>
      </w:tr>
      <w:tr>
        <w:tblPrEx>
          <w:tblCellMar>
            <w:top w:w="0" w:type="dxa"/>
            <w:left w:w="108" w:type="dxa"/>
            <w:bottom w:w="0" w:type="dxa"/>
            <w:right w:w="108" w:type="dxa"/>
          </w:tblCellMar>
        </w:tblPrEx>
        <w:trPr>
          <w:trHeight w:val="672"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细胞培养瓶（T75）</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20个/包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材质为透明纯聚苯乙烯，无菌，无热源。75cm</w:t>
            </w:r>
            <w:r>
              <w:rPr>
                <w:rFonts w:ascii="Times New Roman" w:hAnsi="Times New Roman"/>
                <w:color w:val="000000"/>
                <w:szCs w:val="24"/>
                <w:vertAlign w:val="superscript"/>
              </w:rPr>
              <w:t>2</w:t>
            </w:r>
            <w:r>
              <w:rPr>
                <w:rFonts w:ascii="Times New Roman" w:hAnsi="Times New Roman"/>
                <w:color w:val="000000"/>
                <w:szCs w:val="24"/>
              </w:rPr>
              <w:t>。规格：20个/包。</w:t>
            </w:r>
          </w:p>
        </w:tc>
      </w:tr>
      <w:tr>
        <w:tblPrEx>
          <w:tblCellMar>
            <w:top w:w="0" w:type="dxa"/>
            <w:left w:w="108" w:type="dxa"/>
            <w:bottom w:w="0" w:type="dxa"/>
            <w:right w:w="108" w:type="dxa"/>
          </w:tblCellMar>
        </w:tblPrEx>
        <w:trPr>
          <w:trHeight w:val="1872"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细胞增殖试剂盒（100T）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荧光法，EdU在DNA合成过程中替代胸腺嘧啶脱氧核苷掺入到新合成的DNA中，能与荧光标记的小分子叠氮化物探针反应，通过点击反应，新合成的DNA会被相应的荧光探针所标记，再用适当的荧光检测设备检测到增殖的细胞。规格：100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限制性内切酶</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1000U/支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限制性内切酶，于37°C下在缓冲液中切割。具备预混合BSA。规格：1000U/支。</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血液/细胞/组织基因组DNA提取试剂盒（250T）</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200次/盒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用于小体系全血（≤1 ml）、培养细胞和动物组织等的基因组 DNA广谱性提取,纯化所得的 DNA 无蛋白、核酸酶污染，可直接进行 PCR、酶切和 Southern 杂交等实验操作。规格：200次/盒。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样本冻存管（2.0ml）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2ml，50个</w:t>
            </w:r>
            <w:r>
              <w:rPr>
                <w:rFonts w:hint="eastAsia" w:ascii="Times New Roman" w:hAnsi="Times New Roman"/>
                <w:szCs w:val="24"/>
              </w:rPr>
              <w:t>/包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材料为聚丙烯，可反复冻融，工作温度：-196~121℃，圆底可立，有刻度，非无菌，</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一次性横向测流纳米流生物传感条（CRISPR专用）</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100个/包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基于CRISPR的便携式等温扩增检测方法，采用两端连有发光基团FAM和生物素biotin的报告分子，横向流试纸浸入检测缓冲液中进行读数。</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一次性横向测流生物传感条（#1）</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100个/包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横向流生物传感器，单靶标检测，用于液体样本的超痕量分析。</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一次性横向测流生物传感条（#2）</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100个/包</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横向流生物传感器，双靶标检测，用于液体样本的超痕量分析。</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一次性使用塑料试管</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100支×10袋/箱</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材质为PS/PE,一次性，无菌，15</w:t>
            </w:r>
            <w:r>
              <w:rPr>
                <w:rFonts w:ascii="Times New Roman" w:hAnsi="Times New Roman"/>
                <w:szCs w:val="24"/>
              </w:rPr>
              <w:t>×</w:t>
            </w:r>
            <w:r>
              <w:rPr>
                <w:rFonts w:ascii="Times New Roman" w:hAnsi="Times New Roman"/>
                <w:color w:val="000000"/>
                <w:szCs w:val="24"/>
              </w:rPr>
              <w:t>100mm,规格：100支×10袋</w:t>
            </w:r>
            <w:r>
              <w:rPr>
                <w:rFonts w:ascii="Times New Roman" w:hAnsi="Times New Roman"/>
                <w:szCs w:val="24"/>
              </w:rPr>
              <w:t>/箱</w:t>
            </w:r>
            <w:r>
              <w:rPr>
                <w:rFonts w:ascii="Times New Roman" w:hAnsi="Times New Roman"/>
                <w:color w:val="000000"/>
                <w:szCs w:val="24"/>
              </w:rPr>
              <w:t>。</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胰酶0.25%（100ml）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含酚红，胰蛋白酶浓度0.25%，无菌，无病毒。规格：100ml/瓶。</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荧光标记二抗</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羊抗兔IgG抗体，FITC Conjugate荧光标记。可用于细胞免疫荧光检测。规格：1ml/支。</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1-158</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HRP标记二抗</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1ml/支</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羊抗兔IgG抗体，HRP标记。可用于细胞WB检测。规格：1ml/支。</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1-159</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长片段高保真PCR试剂盒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利用聚合酶的强扩增性用于长片段 PCR （最高≥30kb 的gDNA）的扩增。提供对照引物对和人类 gDNA 模板，控制反应并能检测模板的质量。规格：100T/盒。</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1-160</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质粒大提试剂盒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10次/盒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用于快速地获得高纯度的质粒 DNA，实验时间≤1 h，最高可获得≥1.5 mg 质粒 DNA，提取获得的质粒DNA适用于酶切、PCR、转化、测序和转染等分子生物学实验。规格：10次/盒。</w:t>
            </w:r>
          </w:p>
        </w:tc>
      </w:tr>
      <w:tr>
        <w:tblPrEx>
          <w:tblCellMar>
            <w:top w:w="0" w:type="dxa"/>
            <w:left w:w="108" w:type="dxa"/>
            <w:bottom w:w="0" w:type="dxa"/>
            <w:right w:w="108" w:type="dxa"/>
          </w:tblCellMar>
        </w:tblPrEx>
        <w:trPr>
          <w:trHeight w:val="1248"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1-161</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质粒小提试剂盒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快速完成样本的质粒 DNA 提取，每孔最大产量≥ 10μg，提取获得的质粒DNA可用于限制性酶切、测序、文库筛选，连接和转化等分子生物学实验。规格：200T/盒。</w:t>
            </w:r>
          </w:p>
        </w:tc>
      </w:tr>
      <w:tr>
        <w:tblPrEx>
          <w:tblCellMar>
            <w:top w:w="0" w:type="dxa"/>
            <w:left w:w="108" w:type="dxa"/>
            <w:bottom w:w="0" w:type="dxa"/>
            <w:right w:w="108" w:type="dxa"/>
          </w:tblCellMar>
        </w:tblPrEx>
        <w:trPr>
          <w:trHeight w:val="936"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1-162</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重组酶聚合酶扩增试剂盒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无需热循环仪</w:t>
            </w:r>
            <w:r>
              <w:rPr>
                <w:rFonts w:ascii="Times New Roman" w:hAnsi="Times New Roman" w:cs="Times New Roman"/>
                <w:color w:val="000000"/>
                <w:szCs w:val="24"/>
              </w:rPr>
              <w:t>‌</w:t>
            </w:r>
            <w:r>
              <w:rPr>
                <w:rFonts w:ascii="Times New Roman" w:hAnsi="Times New Roman"/>
                <w:color w:val="000000"/>
                <w:szCs w:val="24"/>
              </w:rPr>
              <w:t>、在</w:t>
            </w:r>
            <w:r>
              <w:rPr>
                <w:rFonts w:ascii="Times New Roman" w:hAnsi="Times New Roman" w:cs="Times New Roman"/>
                <w:color w:val="000000"/>
                <w:szCs w:val="24"/>
              </w:rPr>
              <w:t>‌</w:t>
            </w:r>
            <w:r>
              <w:rPr>
                <w:rFonts w:ascii="Times New Roman" w:hAnsi="Times New Roman"/>
                <w:color w:val="000000"/>
                <w:szCs w:val="24"/>
              </w:rPr>
              <w:t>37-42℃恒温</w:t>
            </w:r>
            <w:r>
              <w:rPr>
                <w:rFonts w:ascii="Times New Roman" w:hAnsi="Times New Roman" w:cs="Times New Roman"/>
                <w:color w:val="000000"/>
                <w:szCs w:val="24"/>
              </w:rPr>
              <w:t>‌</w:t>
            </w:r>
            <w:r>
              <w:rPr>
                <w:rFonts w:ascii="Times New Roman" w:hAnsi="Times New Roman"/>
                <w:color w:val="000000"/>
                <w:szCs w:val="24"/>
              </w:rPr>
              <w:t>条件下就能快速扩增核酸,可在 RNA/DNA 混合物中检测和扩增单个靶标。规格：100T</w:t>
            </w:r>
            <w:r>
              <w:rPr>
                <w:rFonts w:ascii="Times New Roman" w:hAnsi="Times New Roman"/>
                <w:szCs w:val="24"/>
              </w:rPr>
              <w:t>/盒</w:t>
            </w:r>
            <w:r>
              <w:rPr>
                <w:rFonts w:ascii="Times New Roman" w:hAnsi="Times New Roman"/>
                <w:color w:val="000000"/>
                <w:szCs w:val="24"/>
              </w:rPr>
              <w:t>。</w:t>
            </w:r>
          </w:p>
        </w:tc>
      </w:tr>
      <w:tr>
        <w:tblPrEx>
          <w:tblCellMar>
            <w:top w:w="0" w:type="dxa"/>
            <w:left w:w="108" w:type="dxa"/>
            <w:bottom w:w="0" w:type="dxa"/>
            <w:right w:w="108" w:type="dxa"/>
          </w:tblCellMar>
        </w:tblPrEx>
        <w:trPr>
          <w:trHeight w:val="1872"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1-163</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组织RNA提取试剂盒（100ml）</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从动物细胞及组织中高效提取总RNA，起始样本最多≥30 mg组织或≥1×10</w:t>
            </w:r>
            <w:r>
              <w:rPr>
                <w:rFonts w:ascii="Times New Roman" w:hAnsi="Times New Roman"/>
                <w:color w:val="000000"/>
                <w:szCs w:val="24"/>
                <w:vertAlign w:val="superscript"/>
              </w:rPr>
              <w:t>7</w:t>
            </w:r>
            <w:r>
              <w:rPr>
                <w:rFonts w:ascii="Times New Roman" w:hAnsi="Times New Roman"/>
                <w:color w:val="000000"/>
                <w:szCs w:val="24"/>
              </w:rPr>
              <w:t>细胞，可回收未完全纯化的RNA、体外转录和酶促反应后得到的RNA，提取的RNA可用于RT-PCR、Nothern Blot、Dot Blot等下游实验。规格：100T/盒。</w:t>
            </w:r>
          </w:p>
        </w:tc>
      </w:tr>
      <w:tr>
        <w:tblPrEx>
          <w:tblCellMar>
            <w:top w:w="0" w:type="dxa"/>
            <w:left w:w="108" w:type="dxa"/>
            <w:bottom w:w="0" w:type="dxa"/>
            <w:right w:w="108" w:type="dxa"/>
          </w:tblCellMar>
        </w:tblPrEx>
        <w:trPr>
          <w:trHeight w:val="62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1-164</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NC膜</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27 cm x 3.75 m</w:t>
            </w:r>
            <w:r>
              <w:rPr>
                <w:rFonts w:hint="eastAsia" w:ascii="Times New Roman" w:hAnsi="Times New Roman"/>
                <w:szCs w:val="24"/>
              </w:rPr>
              <w:t>/</w:t>
            </w:r>
            <w:r>
              <w:rPr>
                <w:rFonts w:ascii="Times New Roman" w:hAnsi="Times New Roman"/>
                <w:szCs w:val="24"/>
              </w:rPr>
              <w:t>卷</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卷</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硝酸纤维素膜</w:t>
            </w:r>
            <w:r>
              <w:rPr>
                <w:rFonts w:ascii="Times New Roman" w:hAnsi="Times New Roman" w:cs="Times New Roman"/>
                <w:color w:val="000000"/>
                <w:szCs w:val="24"/>
              </w:rPr>
              <w:t>‌</w:t>
            </w:r>
            <w:r>
              <w:rPr>
                <w:rFonts w:ascii="Times New Roman" w:hAnsi="Times New Roman"/>
                <w:color w:val="000000"/>
                <w:szCs w:val="24"/>
              </w:rPr>
              <w:t>，孔径0.22μm,用在</w:t>
            </w:r>
            <w:r>
              <w:rPr>
                <w:rFonts w:ascii="Times New Roman" w:hAnsi="Times New Roman" w:cs="Times New Roman"/>
                <w:color w:val="000000"/>
                <w:szCs w:val="24"/>
              </w:rPr>
              <w:t>‌</w:t>
            </w:r>
            <w:r>
              <w:rPr>
                <w:rFonts w:ascii="Times New Roman" w:hAnsi="Times New Roman"/>
                <w:color w:val="000000"/>
                <w:szCs w:val="24"/>
              </w:rPr>
              <w:t>蛋白质印迹（WB 实验）</w:t>
            </w:r>
            <w:r>
              <w:rPr>
                <w:rFonts w:ascii="Times New Roman" w:hAnsi="Times New Roman" w:cs="Times New Roman"/>
                <w:color w:val="000000"/>
                <w:szCs w:val="24"/>
              </w:rPr>
              <w:t>‌</w:t>
            </w:r>
            <w:r>
              <w:rPr>
                <w:rFonts w:ascii="Times New Roman" w:hAnsi="Times New Roman"/>
                <w:color w:val="000000"/>
                <w:szCs w:val="24"/>
              </w:rPr>
              <w:t>和</w:t>
            </w:r>
            <w:r>
              <w:rPr>
                <w:rFonts w:ascii="Times New Roman" w:hAnsi="Times New Roman" w:cs="Times New Roman"/>
                <w:color w:val="000000"/>
                <w:szCs w:val="24"/>
              </w:rPr>
              <w:t>‌</w:t>
            </w:r>
            <w:r>
              <w:rPr>
                <w:rFonts w:ascii="Times New Roman" w:hAnsi="Times New Roman"/>
                <w:color w:val="000000"/>
                <w:szCs w:val="24"/>
              </w:rPr>
              <w:t>胶体金试纸</w:t>
            </w:r>
            <w:r>
              <w:rPr>
                <w:rFonts w:ascii="Times New Roman" w:hAnsi="Times New Roman" w:cs="Times New Roman"/>
                <w:color w:val="000000"/>
                <w:szCs w:val="24"/>
              </w:rPr>
              <w:t>‌</w:t>
            </w:r>
            <w:r>
              <w:rPr>
                <w:rFonts w:ascii="Times New Roman" w:hAnsi="Times New Roman"/>
                <w:color w:val="000000"/>
                <w:szCs w:val="24"/>
              </w:rPr>
              <w:t>。规格：1卷。</w:t>
            </w:r>
          </w:p>
        </w:tc>
      </w:tr>
      <w:tr>
        <w:tblPrEx>
          <w:tblCellMar>
            <w:top w:w="0" w:type="dxa"/>
            <w:left w:w="108" w:type="dxa"/>
            <w:bottom w:w="0" w:type="dxa"/>
            <w:right w:w="108" w:type="dxa"/>
          </w:tblCellMar>
        </w:tblPrEx>
        <w:trPr>
          <w:trHeight w:val="218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1-165</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病毒基因组提取试剂盒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用于从新鲜或冷冻的血浆、血清和无细胞体液中提取病毒DNA；缓冲体系使裂解液中的病毒核酸高效特异地结合在硅胶质离心吸附柱上，可获得高纯度的病毒核酸；纯化的病毒核酸不含蛋白、核酸酶和其他杂质，可直接用于PCR、RT-PCR、Real-Time PCR、印迹实验等；规格：100T/盒。</w:t>
            </w:r>
          </w:p>
        </w:tc>
      </w:tr>
      <w:tr>
        <w:tblPrEx>
          <w:tblCellMar>
            <w:top w:w="0" w:type="dxa"/>
            <w:left w:w="108" w:type="dxa"/>
            <w:bottom w:w="0" w:type="dxa"/>
            <w:right w:w="108" w:type="dxa"/>
          </w:tblCellMar>
        </w:tblPrEx>
        <w:trPr>
          <w:trHeight w:val="1560"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1-166</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粪便基因组 DNA 提取试剂盒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以特异性结合DNA的离心吸附柱和沉淀系统提取粪便样本的基因组DNA，提取的基因组DNA片段大，纯度高，回收的DNA可直接用于PCR等其它分子生物学下游实验。规格：50T/盒。</w:t>
            </w:r>
          </w:p>
        </w:tc>
      </w:tr>
      <w:tr>
        <w:tblPrEx>
          <w:tblCellMar>
            <w:top w:w="0" w:type="dxa"/>
            <w:left w:w="108" w:type="dxa"/>
            <w:bottom w:w="0" w:type="dxa"/>
            <w:right w:w="108" w:type="dxa"/>
          </w:tblCellMar>
        </w:tblPrEx>
        <w:trPr>
          <w:trHeight w:val="274" w:hRule="atLeast"/>
          <w:jc w:val="center"/>
        </w:trPr>
        <w:tc>
          <w:tcPr>
            <w:tcW w:w="643"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72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1-167</w:t>
            </w:r>
          </w:p>
        </w:tc>
        <w:tc>
          <w:tcPr>
            <w:tcW w:w="183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血液基因组 DNA 提取试剂盒</w:t>
            </w:r>
          </w:p>
        </w:tc>
        <w:tc>
          <w:tcPr>
            <w:tcW w:w="1110"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52"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672"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4437"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适用于从新鲜或冷冻全血、血浆、血清、血沉棕黄层、骨髓、无细胞体液等样本中提取总DNA、包括基因组DNA、线粒体DNA及病毒DNA；处理1-5 mL的全血，可纯化获得大小为100 bp到50 kb的DNA；纯化的DNA已去除蛋白、色素、脂类及其他抑制性杂质，可直接用于PCR、荧光定量PCR、酶切和Southern Blot等实验；规格：100T/盒。</w:t>
            </w:r>
          </w:p>
        </w:tc>
      </w:tr>
    </w:tbl>
    <w:p>
      <w:pPr>
        <w:contextualSpacing/>
        <w:rPr>
          <w:rFonts w:ascii="Times New Roman" w:hAnsi="Times New Roman"/>
          <w:color w:val="EE0000"/>
        </w:rPr>
      </w:pPr>
    </w:p>
    <w:p>
      <w:pPr>
        <w:pStyle w:val="5"/>
        <w:autoSpaceDE/>
        <w:autoSpaceDN/>
        <w:spacing w:after="0"/>
        <w:rPr>
          <w:color w:val="EE0000"/>
        </w:rPr>
      </w:pPr>
      <w:r>
        <w:rPr>
          <w:rFonts w:hint="eastAsia"/>
        </w:rPr>
        <w:t>第2包：</w:t>
      </w:r>
    </w:p>
    <w:tbl>
      <w:tblPr>
        <w:tblStyle w:val="15"/>
        <w:tblW w:w="10180" w:type="dxa"/>
        <w:jc w:val="center"/>
        <w:tblLayout w:type="autofit"/>
        <w:tblCellMar>
          <w:top w:w="0" w:type="dxa"/>
          <w:left w:w="108" w:type="dxa"/>
          <w:bottom w:w="0" w:type="dxa"/>
          <w:right w:w="108" w:type="dxa"/>
        </w:tblCellMar>
      </w:tblPr>
      <w:tblGrid>
        <w:gridCol w:w="680"/>
        <w:gridCol w:w="684"/>
        <w:gridCol w:w="1765"/>
        <w:gridCol w:w="1296"/>
        <w:gridCol w:w="800"/>
        <w:gridCol w:w="700"/>
        <w:gridCol w:w="4255"/>
      </w:tblGrid>
      <w:tr>
        <w:tblPrEx>
          <w:tblCellMar>
            <w:top w:w="0" w:type="dxa"/>
            <w:left w:w="108" w:type="dxa"/>
            <w:bottom w:w="0" w:type="dxa"/>
            <w:right w:w="108" w:type="dxa"/>
          </w:tblCellMar>
        </w:tblPrEx>
        <w:trPr>
          <w:trHeight w:val="936" w:hRule="atLeast"/>
          <w:jc w:val="center"/>
        </w:trPr>
        <w:tc>
          <w:tcPr>
            <w:tcW w:w="680" w:type="dxa"/>
            <w:tcBorders>
              <w:top w:val="single" w:color="auto" w:sz="4" w:space="0"/>
              <w:left w:val="single" w:color="auto" w:sz="4" w:space="0"/>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b/>
                <w:bCs/>
                <w:color w:val="000000"/>
                <w:szCs w:val="24"/>
              </w:rPr>
              <w:t>包号</w:t>
            </w:r>
          </w:p>
        </w:tc>
        <w:tc>
          <w:tcPr>
            <w:tcW w:w="684"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b/>
                <w:bCs/>
                <w:szCs w:val="24"/>
              </w:rPr>
              <w:t>品目</w:t>
            </w:r>
          </w:p>
        </w:tc>
        <w:tc>
          <w:tcPr>
            <w:tcW w:w="1765"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b/>
                <w:bCs/>
                <w:szCs w:val="24"/>
              </w:rPr>
              <w:t>标的名称</w:t>
            </w:r>
          </w:p>
        </w:tc>
        <w:tc>
          <w:tcPr>
            <w:tcW w:w="1296" w:type="dxa"/>
            <w:tcBorders>
              <w:top w:val="single" w:color="auto" w:sz="4" w:space="0"/>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b/>
                <w:bCs/>
                <w:szCs w:val="24"/>
              </w:rPr>
              <w:t>规格</w:t>
            </w:r>
          </w:p>
        </w:tc>
        <w:tc>
          <w:tcPr>
            <w:tcW w:w="800" w:type="dxa"/>
            <w:tcBorders>
              <w:top w:val="single" w:color="auto" w:sz="4" w:space="0"/>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b/>
                <w:bCs/>
                <w:szCs w:val="24"/>
              </w:rPr>
              <w:t>单位</w:t>
            </w:r>
          </w:p>
        </w:tc>
        <w:tc>
          <w:tcPr>
            <w:tcW w:w="700" w:type="dxa"/>
            <w:tcBorders>
              <w:top w:val="single" w:color="auto" w:sz="4" w:space="0"/>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b/>
                <w:bCs/>
                <w:szCs w:val="24"/>
              </w:rPr>
              <w:t>数量</w:t>
            </w:r>
          </w:p>
        </w:tc>
        <w:tc>
          <w:tcPr>
            <w:tcW w:w="4255"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b/>
                <w:bCs/>
                <w:color w:val="000000"/>
                <w:szCs w:val="24"/>
              </w:rPr>
              <w:t>技术参数要求</w:t>
            </w:r>
          </w:p>
        </w:tc>
      </w:tr>
      <w:tr>
        <w:tblPrEx>
          <w:tblCellMar>
            <w:top w:w="0" w:type="dxa"/>
            <w:left w:w="108" w:type="dxa"/>
            <w:bottom w:w="0" w:type="dxa"/>
            <w:right w:w="108" w:type="dxa"/>
          </w:tblCellMar>
        </w:tblPrEx>
        <w:trPr>
          <w:trHeight w:val="936" w:hRule="atLeast"/>
          <w:jc w:val="center"/>
        </w:trPr>
        <w:tc>
          <w:tcPr>
            <w:tcW w:w="680" w:type="dxa"/>
            <w:vMerge w:val="restart"/>
            <w:tcBorders>
              <w:top w:val="single" w:color="auto" w:sz="4" w:space="0"/>
              <w:left w:val="single" w:color="auto" w:sz="4" w:space="0"/>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2</w:t>
            </w:r>
          </w:p>
        </w:tc>
        <w:tc>
          <w:tcPr>
            <w:tcW w:w="684"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2-1</w:t>
            </w:r>
          </w:p>
        </w:tc>
        <w:tc>
          <w:tcPr>
            <w:tcW w:w="1765"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人瘦素</w:t>
            </w:r>
            <w:r>
              <w:rPr>
                <w:rFonts w:ascii="Times New Roman" w:hAnsi="Times New Roman" w:cs="Arial"/>
                <w:szCs w:val="24"/>
              </w:rPr>
              <w:t>(LEP)elisa</w:t>
            </w:r>
            <w:r>
              <w:rPr>
                <w:rFonts w:ascii="Times New Roman" w:hAnsi="Times New Roman"/>
                <w:szCs w:val="24"/>
              </w:rPr>
              <w:t>试剂盒</w:t>
            </w:r>
          </w:p>
        </w:tc>
        <w:tc>
          <w:tcPr>
            <w:tcW w:w="1296" w:type="dxa"/>
            <w:tcBorders>
              <w:top w:val="single" w:color="auto" w:sz="4" w:space="0"/>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48T</w:t>
            </w:r>
            <w:r>
              <w:rPr>
                <w:rFonts w:ascii="Times New Roman" w:hAnsi="Times New Roman"/>
                <w:szCs w:val="24"/>
              </w:rPr>
              <w:t>/盒</w:t>
            </w:r>
          </w:p>
        </w:tc>
        <w:tc>
          <w:tcPr>
            <w:tcW w:w="800" w:type="dxa"/>
            <w:tcBorders>
              <w:top w:val="single" w:color="auto" w:sz="4" w:space="0"/>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盒</w:t>
            </w:r>
          </w:p>
        </w:tc>
        <w:tc>
          <w:tcPr>
            <w:tcW w:w="700" w:type="dxa"/>
            <w:tcBorders>
              <w:top w:val="single" w:color="auto" w:sz="4" w:space="0"/>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14</w:t>
            </w:r>
          </w:p>
        </w:tc>
        <w:tc>
          <w:tcPr>
            <w:tcW w:w="4255"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hint="eastAsia" w:ascii="Times New Roman" w:hAnsi="Times New Roman"/>
                <w:color w:val="000000"/>
                <w:szCs w:val="24"/>
              </w:rPr>
              <w:t>1、</w:t>
            </w:r>
            <w:r>
              <w:rPr>
                <w:rFonts w:ascii="Times New Roman" w:hAnsi="Times New Roman"/>
                <w:color w:val="000000"/>
                <w:szCs w:val="24"/>
              </w:rPr>
              <w:t>灵敏度</w:t>
            </w:r>
            <w:r>
              <w:rPr>
                <w:rFonts w:hint="eastAsia" w:ascii="Times New Roman" w:hAnsi="Times New Roman"/>
                <w:color w:val="000000"/>
                <w:szCs w:val="24"/>
              </w:rPr>
              <w:t>≤</w:t>
            </w:r>
            <w:r>
              <w:rPr>
                <w:rFonts w:ascii="Times New Roman" w:hAnsi="Times New Roman"/>
                <w:color w:val="000000"/>
                <w:szCs w:val="24"/>
              </w:rPr>
              <w:t>0.125ng/mL</w:t>
            </w:r>
            <w:r>
              <w:rPr>
                <w:rFonts w:hint="eastAsia" w:ascii="Times New Roman" w:hAnsi="Times New Roman"/>
                <w:color w:val="000000"/>
                <w:szCs w:val="24"/>
              </w:rPr>
              <w:t>；</w:t>
            </w:r>
            <w:r>
              <w:rPr>
                <w:rFonts w:ascii="Times New Roman" w:hAnsi="Times New Roman"/>
                <w:color w:val="000000"/>
                <w:szCs w:val="24"/>
              </w:rPr>
              <w:br w:type="textWrapping"/>
            </w:r>
            <w:r>
              <w:rPr>
                <w:rFonts w:hint="eastAsia" w:ascii="Times New Roman" w:hAnsi="Times New Roman"/>
                <w:color w:val="000000"/>
                <w:szCs w:val="24"/>
              </w:rPr>
              <w:t>2、</w:t>
            </w:r>
            <w:r>
              <w:rPr>
                <w:rFonts w:ascii="Times New Roman" w:hAnsi="Times New Roman"/>
                <w:color w:val="000000"/>
                <w:szCs w:val="24"/>
              </w:rPr>
              <w:t>检测范围0.25ng/mL-16ng/mL</w:t>
            </w:r>
            <w:r>
              <w:rPr>
                <w:rFonts w:hint="eastAsia" w:ascii="Times New Roman" w:hAnsi="Times New Roman"/>
                <w:color w:val="000000"/>
                <w:szCs w:val="24"/>
              </w:rPr>
              <w:t>。</w:t>
            </w:r>
          </w:p>
        </w:tc>
      </w:tr>
      <w:tr>
        <w:tblPrEx>
          <w:tblCellMar>
            <w:top w:w="0" w:type="dxa"/>
            <w:left w:w="108" w:type="dxa"/>
            <w:bottom w:w="0" w:type="dxa"/>
            <w:right w:w="108" w:type="dxa"/>
          </w:tblCellMar>
        </w:tblPrEx>
        <w:trPr>
          <w:trHeight w:val="936" w:hRule="atLeast"/>
          <w:jc w:val="center"/>
        </w:trPr>
        <w:tc>
          <w:tcPr>
            <w:tcW w:w="680" w:type="dxa"/>
            <w:vMerge w:val="continue"/>
            <w:tcBorders>
              <w:top w:val="single" w:color="auto" w:sz="4" w:space="0"/>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68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2-2</w:t>
            </w:r>
          </w:p>
        </w:tc>
        <w:tc>
          <w:tcPr>
            <w:tcW w:w="1765"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人脂联素(ADPN)elisa试剂盒</w:t>
            </w:r>
          </w:p>
        </w:tc>
        <w:tc>
          <w:tcPr>
            <w:tcW w:w="1296"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48T</w:t>
            </w:r>
            <w:r>
              <w:rPr>
                <w:rFonts w:ascii="Times New Roman" w:hAnsi="Times New Roman"/>
                <w:szCs w:val="24"/>
              </w:rPr>
              <w:t>/盒</w:t>
            </w:r>
          </w:p>
        </w:tc>
        <w:tc>
          <w:tcPr>
            <w:tcW w:w="80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盒</w:t>
            </w:r>
          </w:p>
        </w:tc>
        <w:tc>
          <w:tcPr>
            <w:tcW w:w="70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14</w:t>
            </w:r>
          </w:p>
        </w:tc>
        <w:tc>
          <w:tcPr>
            <w:tcW w:w="4255"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hint="eastAsia" w:ascii="Times New Roman" w:hAnsi="Times New Roman"/>
                <w:color w:val="000000"/>
                <w:szCs w:val="24"/>
              </w:rPr>
              <w:t>1、</w:t>
            </w:r>
            <w:r>
              <w:rPr>
                <w:rFonts w:ascii="Times New Roman" w:hAnsi="Times New Roman"/>
                <w:color w:val="000000"/>
                <w:szCs w:val="24"/>
              </w:rPr>
              <w:t>灵敏度</w:t>
            </w:r>
            <w:r>
              <w:rPr>
                <w:rFonts w:hint="eastAsia" w:ascii="Times New Roman" w:hAnsi="Times New Roman"/>
                <w:color w:val="000000"/>
                <w:szCs w:val="24"/>
              </w:rPr>
              <w:t>≤</w:t>
            </w:r>
            <w:r>
              <w:rPr>
                <w:rFonts w:ascii="Times New Roman" w:hAnsi="Times New Roman"/>
                <w:color w:val="000000"/>
                <w:szCs w:val="24"/>
              </w:rPr>
              <w:t>0.234375g/mL</w:t>
            </w:r>
            <w:r>
              <w:rPr>
                <w:rFonts w:hint="eastAsia" w:ascii="Times New Roman" w:hAnsi="Times New Roman"/>
                <w:color w:val="000000"/>
                <w:szCs w:val="24"/>
              </w:rPr>
              <w:t>；</w:t>
            </w:r>
            <w:r>
              <w:rPr>
                <w:rFonts w:ascii="Times New Roman" w:hAnsi="Times New Roman"/>
                <w:color w:val="000000"/>
                <w:szCs w:val="24"/>
              </w:rPr>
              <w:br w:type="textWrapping"/>
            </w:r>
            <w:r>
              <w:rPr>
                <w:rFonts w:hint="eastAsia" w:ascii="Times New Roman" w:hAnsi="Times New Roman"/>
                <w:color w:val="000000"/>
                <w:szCs w:val="24"/>
              </w:rPr>
              <w:t>2、</w:t>
            </w:r>
            <w:r>
              <w:rPr>
                <w:rFonts w:ascii="Times New Roman" w:hAnsi="Times New Roman"/>
                <w:color w:val="000000"/>
                <w:szCs w:val="24"/>
              </w:rPr>
              <w:t>检测范围0.46875g/mL-30μg/mL</w:t>
            </w:r>
            <w:r>
              <w:rPr>
                <w:rFonts w:hint="eastAsia" w:ascii="Times New Roman" w:hAnsi="Times New Roman"/>
                <w:color w:val="000000"/>
                <w:szCs w:val="24"/>
              </w:rPr>
              <w:t>。</w:t>
            </w:r>
          </w:p>
        </w:tc>
      </w:tr>
      <w:tr>
        <w:tblPrEx>
          <w:tblCellMar>
            <w:top w:w="0" w:type="dxa"/>
            <w:left w:w="108" w:type="dxa"/>
            <w:bottom w:w="0" w:type="dxa"/>
            <w:right w:w="108" w:type="dxa"/>
          </w:tblCellMar>
        </w:tblPrEx>
        <w:trPr>
          <w:trHeight w:val="2496" w:hRule="atLeast"/>
          <w:jc w:val="center"/>
        </w:trPr>
        <w:tc>
          <w:tcPr>
            <w:tcW w:w="680" w:type="dxa"/>
            <w:vMerge w:val="continue"/>
            <w:tcBorders>
              <w:top w:val="single" w:color="auto" w:sz="4" w:space="0"/>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68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2-3</w:t>
            </w:r>
          </w:p>
        </w:tc>
        <w:tc>
          <w:tcPr>
            <w:tcW w:w="1765"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葡萄糖（Glu）试剂盒</w:t>
            </w:r>
          </w:p>
        </w:tc>
        <w:tc>
          <w:tcPr>
            <w:tcW w:w="129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R1:6*44ml</w:t>
            </w:r>
            <w:r>
              <w:rPr>
                <w:rFonts w:ascii="Times New Roman" w:hAnsi="Times New Roman" w:cs="Arial"/>
                <w:sz w:val="18"/>
                <w:szCs w:val="18"/>
              </w:rPr>
              <w:t xml:space="preserve"> </w:t>
            </w:r>
            <w:r>
              <w:rPr>
                <w:rFonts w:ascii="Times New Roman" w:hAnsi="Times New Roman"/>
                <w:color w:val="000000"/>
                <w:szCs w:val="24"/>
              </w:rPr>
              <w:br w:type="textWrapping"/>
            </w:r>
            <w:r>
              <w:rPr>
                <w:rFonts w:ascii="Times New Roman" w:hAnsi="Times New Roman"/>
                <w:color w:val="000000"/>
                <w:szCs w:val="24"/>
              </w:rPr>
              <w:t>R2:3*45ml</w:t>
            </w:r>
          </w:p>
        </w:tc>
        <w:tc>
          <w:tcPr>
            <w:tcW w:w="80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hint="eastAsia" w:ascii="Times New Roman" w:hAnsi="Times New Roman"/>
                <w:color w:val="000000"/>
                <w:szCs w:val="24"/>
              </w:rPr>
              <w:t>人份</w:t>
            </w:r>
          </w:p>
        </w:tc>
        <w:tc>
          <w:tcPr>
            <w:tcW w:w="70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w:t>
            </w:r>
            <w:r>
              <w:rPr>
                <w:rFonts w:hint="eastAsia" w:ascii="Times New Roman" w:hAnsi="Times New Roman"/>
                <w:color w:val="000000"/>
                <w:szCs w:val="24"/>
              </w:rPr>
              <w:t>618</w:t>
            </w:r>
          </w:p>
        </w:tc>
        <w:tc>
          <w:tcPr>
            <w:tcW w:w="4255"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己糖激酶法</w:t>
            </w:r>
          </w:p>
        </w:tc>
      </w:tr>
      <w:tr>
        <w:tblPrEx>
          <w:tblCellMar>
            <w:top w:w="0" w:type="dxa"/>
            <w:left w:w="108" w:type="dxa"/>
            <w:bottom w:w="0" w:type="dxa"/>
            <w:right w:w="108" w:type="dxa"/>
          </w:tblCellMar>
        </w:tblPrEx>
        <w:trPr>
          <w:trHeight w:val="4368" w:hRule="atLeast"/>
          <w:jc w:val="center"/>
        </w:trPr>
        <w:tc>
          <w:tcPr>
            <w:tcW w:w="680" w:type="dxa"/>
            <w:vMerge w:val="continue"/>
            <w:tcBorders>
              <w:top w:val="single" w:color="auto" w:sz="4" w:space="0"/>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68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w:t>
            </w:r>
          </w:p>
        </w:tc>
        <w:tc>
          <w:tcPr>
            <w:tcW w:w="1765"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血脂四项检测试剂盒</w:t>
            </w:r>
          </w:p>
        </w:tc>
        <w:tc>
          <w:tcPr>
            <w:tcW w:w="129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50T/48S/盒</w:t>
            </w:r>
          </w:p>
        </w:tc>
        <w:tc>
          <w:tcPr>
            <w:tcW w:w="80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盒</w:t>
            </w:r>
          </w:p>
        </w:tc>
        <w:tc>
          <w:tcPr>
            <w:tcW w:w="700"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20</w:t>
            </w:r>
          </w:p>
        </w:tc>
        <w:tc>
          <w:tcPr>
            <w:tcW w:w="4255" w:type="dxa"/>
            <w:tcBorders>
              <w:top w:val="nil"/>
              <w:left w:val="nil"/>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r>
              <w:rPr>
                <w:rFonts w:ascii="Times New Roman" w:hAnsi="Times New Roman"/>
                <w:color w:val="000000"/>
                <w:szCs w:val="24"/>
              </w:rPr>
              <w:t>1、总胆固醇(TC)含量检测试剂盒：可见分光光度法</w:t>
            </w:r>
            <w:r>
              <w:rPr>
                <w:rFonts w:hint="eastAsia" w:ascii="Times New Roman" w:hAnsi="Times New Roman"/>
                <w:color w:val="000000"/>
                <w:szCs w:val="24"/>
              </w:rPr>
              <w:t>；</w:t>
            </w:r>
            <w:r>
              <w:rPr>
                <w:rFonts w:ascii="Times New Roman" w:hAnsi="Times New Roman"/>
                <w:color w:val="000000"/>
                <w:szCs w:val="24"/>
              </w:rPr>
              <w:t>检测波长500nm</w:t>
            </w:r>
            <w:r>
              <w:rPr>
                <w:rFonts w:hint="eastAsia" w:ascii="Times New Roman" w:hAnsi="Times New Roman"/>
                <w:color w:val="000000"/>
                <w:szCs w:val="24"/>
              </w:rPr>
              <w:t>±2nm；</w:t>
            </w:r>
            <w:r>
              <w:rPr>
                <w:rFonts w:ascii="Times New Roman" w:hAnsi="Times New Roman"/>
                <w:color w:val="000000"/>
                <w:szCs w:val="24"/>
              </w:rPr>
              <w:br w:type="textWrapping"/>
            </w:r>
            <w:r>
              <w:rPr>
                <w:rFonts w:hint="eastAsia" w:ascii="Times New Roman" w:hAnsi="Times New Roman"/>
                <w:color w:val="000000"/>
                <w:szCs w:val="24"/>
              </w:rPr>
              <w:t>2</w:t>
            </w:r>
            <w:r>
              <w:rPr>
                <w:rFonts w:ascii="Times New Roman" w:hAnsi="Times New Roman"/>
                <w:color w:val="000000"/>
                <w:szCs w:val="24"/>
              </w:rPr>
              <w:t>、甘油三酯(TG)含量检测试剂盒：可见分光光度法</w:t>
            </w:r>
            <w:r>
              <w:rPr>
                <w:rFonts w:hint="eastAsia" w:ascii="Times New Roman" w:hAnsi="Times New Roman"/>
                <w:color w:val="000000"/>
                <w:szCs w:val="24"/>
              </w:rPr>
              <w:t>；</w:t>
            </w:r>
            <w:r>
              <w:rPr>
                <w:rFonts w:ascii="Times New Roman" w:hAnsi="Times New Roman"/>
                <w:color w:val="000000"/>
                <w:szCs w:val="24"/>
              </w:rPr>
              <w:t>检测波长420nm</w:t>
            </w:r>
            <w:r>
              <w:rPr>
                <w:rFonts w:hint="eastAsia" w:ascii="Times New Roman" w:hAnsi="Times New Roman"/>
                <w:color w:val="000000"/>
                <w:szCs w:val="24"/>
              </w:rPr>
              <w:t>±2nm；</w:t>
            </w:r>
            <w:r>
              <w:rPr>
                <w:rFonts w:ascii="Times New Roman" w:hAnsi="Times New Roman"/>
                <w:color w:val="000000"/>
                <w:szCs w:val="24"/>
              </w:rPr>
              <w:br w:type="textWrapping"/>
            </w:r>
            <w:r>
              <w:rPr>
                <w:rFonts w:hint="eastAsia" w:ascii="Times New Roman" w:hAnsi="Times New Roman"/>
                <w:color w:val="000000"/>
                <w:szCs w:val="24"/>
              </w:rPr>
              <w:t>3</w:t>
            </w:r>
            <w:r>
              <w:rPr>
                <w:rFonts w:ascii="Times New Roman" w:hAnsi="Times New Roman"/>
                <w:color w:val="000000"/>
                <w:szCs w:val="24"/>
              </w:rPr>
              <w:t>、高密度脂蛋白胆固醇（HDL-C）含量检测试剂盒：可见分光光度法</w:t>
            </w:r>
            <w:r>
              <w:rPr>
                <w:rFonts w:hint="eastAsia" w:ascii="Times New Roman" w:hAnsi="Times New Roman"/>
                <w:color w:val="000000"/>
                <w:szCs w:val="24"/>
              </w:rPr>
              <w:t>；</w:t>
            </w:r>
            <w:r>
              <w:rPr>
                <w:rFonts w:ascii="Times New Roman" w:hAnsi="Times New Roman"/>
                <w:color w:val="000000"/>
                <w:szCs w:val="24"/>
              </w:rPr>
              <w:t>检测波长546nm</w:t>
            </w:r>
            <w:r>
              <w:rPr>
                <w:rFonts w:hint="eastAsia" w:ascii="Times New Roman" w:hAnsi="Times New Roman"/>
                <w:color w:val="000000"/>
                <w:szCs w:val="24"/>
              </w:rPr>
              <w:t>±2nm；</w:t>
            </w:r>
            <w:r>
              <w:rPr>
                <w:rFonts w:ascii="Times New Roman" w:hAnsi="Times New Roman"/>
                <w:color w:val="000000"/>
                <w:szCs w:val="24"/>
              </w:rPr>
              <w:br w:type="textWrapping"/>
            </w:r>
            <w:r>
              <w:rPr>
                <w:rFonts w:hint="eastAsia" w:ascii="Times New Roman" w:hAnsi="Times New Roman"/>
                <w:color w:val="000000"/>
                <w:szCs w:val="24"/>
              </w:rPr>
              <w:t>4、</w:t>
            </w:r>
            <w:r>
              <w:rPr>
                <w:rFonts w:ascii="Times New Roman" w:hAnsi="Times New Roman"/>
                <w:color w:val="000000"/>
                <w:szCs w:val="24"/>
              </w:rPr>
              <w:t>低密度脂蛋白胆固醇（LDL-C）含量检测试剂盒：可见分光光度法</w:t>
            </w:r>
            <w:r>
              <w:rPr>
                <w:rFonts w:hint="eastAsia" w:ascii="Times New Roman" w:hAnsi="Times New Roman"/>
                <w:color w:val="000000"/>
                <w:szCs w:val="24"/>
              </w:rPr>
              <w:t>；</w:t>
            </w:r>
            <w:r>
              <w:rPr>
                <w:rFonts w:ascii="Times New Roman" w:hAnsi="Times New Roman"/>
                <w:color w:val="000000"/>
                <w:szCs w:val="24"/>
              </w:rPr>
              <w:t>检测波长546nm</w:t>
            </w:r>
            <w:r>
              <w:rPr>
                <w:rFonts w:hint="eastAsia" w:ascii="Times New Roman" w:hAnsi="Times New Roman"/>
                <w:color w:val="000000"/>
                <w:szCs w:val="24"/>
              </w:rPr>
              <w:t>±2nm。</w:t>
            </w:r>
          </w:p>
        </w:tc>
      </w:tr>
    </w:tbl>
    <w:p>
      <w:pPr>
        <w:autoSpaceDE/>
        <w:autoSpaceDN/>
        <w:spacing w:after="0" w:line="240" w:lineRule="auto"/>
        <w:rPr>
          <w:rFonts w:ascii="Times New Roman" w:hAnsi="Times New Roman"/>
        </w:rPr>
      </w:pPr>
    </w:p>
    <w:p>
      <w:pPr>
        <w:pStyle w:val="5"/>
        <w:autoSpaceDE/>
        <w:autoSpaceDN/>
        <w:spacing w:after="0"/>
        <w:jc w:val="center"/>
      </w:pPr>
      <w:r>
        <w:rPr>
          <w:rFonts w:hint="eastAsia"/>
        </w:rPr>
        <w:t>四、其他相关要求</w:t>
      </w:r>
    </w:p>
    <w:p>
      <w:pPr>
        <w:widowControl/>
        <w:autoSpaceDE/>
        <w:autoSpaceDN/>
        <w:spacing w:after="0"/>
        <w:rPr>
          <w:rFonts w:ascii="Times New Roman" w:hAnsi="Times New Roman"/>
        </w:rPr>
      </w:pPr>
      <w:r>
        <w:rPr>
          <w:rFonts w:hint="eastAsia" w:ascii="Times New Roman" w:hAnsi="Times New Roman"/>
        </w:rPr>
        <w:t>（一）质量验收要求：</w:t>
      </w:r>
    </w:p>
    <w:p>
      <w:pPr>
        <w:widowControl/>
        <w:autoSpaceDE/>
        <w:autoSpaceDN/>
        <w:spacing w:after="0"/>
        <w:rPr>
          <w:rFonts w:ascii="Times New Roman" w:hAnsi="Times New Roman"/>
        </w:rPr>
      </w:pPr>
      <w:r>
        <w:rPr>
          <w:rFonts w:hint="eastAsia" w:ascii="Times New Roman" w:hAnsi="Times New Roman"/>
        </w:rPr>
        <w:t>1、投标人应提供符合国家质量标准，包装完好无破损，有效期内的产品，采购人有权拒绝接收不符合质量、有效期、包装或订单数量的产品，投标人应对不符合要求的产品及时进行更换，不得影响采购人的正常使用。</w:t>
      </w:r>
    </w:p>
    <w:p>
      <w:pPr>
        <w:widowControl/>
        <w:autoSpaceDE/>
        <w:autoSpaceDN/>
        <w:spacing w:after="0"/>
        <w:rPr>
          <w:rFonts w:ascii="Times New Roman" w:hAnsi="Times New Roman"/>
        </w:rPr>
      </w:pPr>
      <w:r>
        <w:rPr>
          <w:rFonts w:hint="eastAsia" w:ascii="Times New Roman" w:hAnsi="Times New Roman"/>
        </w:rPr>
        <w:t>2、采购人有权选择具备检验资质的机构对投标人交付的产品进行抽样检验，如检测不合格采购人有权退回并要求及时更换。</w:t>
      </w:r>
    </w:p>
    <w:p>
      <w:pPr>
        <w:widowControl/>
        <w:autoSpaceDE/>
        <w:autoSpaceDN/>
        <w:spacing w:after="0"/>
        <w:rPr>
          <w:rFonts w:ascii="Times New Roman" w:hAnsi="Times New Roman"/>
        </w:rPr>
      </w:pPr>
      <w:r>
        <w:rPr>
          <w:rFonts w:hint="eastAsia" w:ascii="Times New Roman" w:hAnsi="Times New Roman"/>
        </w:rPr>
        <w:t>（二）产品有效期要求：</w:t>
      </w:r>
    </w:p>
    <w:p>
      <w:pPr>
        <w:widowControl/>
        <w:autoSpaceDE/>
        <w:autoSpaceDN/>
        <w:spacing w:after="0"/>
        <w:ind w:firstLine="420" w:firstLineChars="200"/>
        <w:rPr>
          <w:rFonts w:ascii="Times New Roman" w:hAnsi="Times New Roman"/>
        </w:rPr>
      </w:pPr>
      <w:r>
        <w:rPr>
          <w:rFonts w:hint="eastAsia" w:ascii="Times New Roman" w:hAnsi="Times New Roman"/>
        </w:rPr>
        <w:t>投标人所提供的产品效期均不低于6个月。</w:t>
      </w:r>
    </w:p>
    <w:p>
      <w:pPr>
        <w:widowControl/>
        <w:autoSpaceDE/>
        <w:autoSpaceDN/>
        <w:spacing w:after="0"/>
        <w:rPr>
          <w:rFonts w:ascii="Times New Roman" w:hAnsi="Times New Roman"/>
        </w:rPr>
      </w:pPr>
      <w:r>
        <w:rPr>
          <w:rFonts w:hint="eastAsia" w:ascii="Times New Roman" w:hAnsi="Times New Roman"/>
        </w:rPr>
        <w:t>（三）售后服务要求：</w:t>
      </w:r>
    </w:p>
    <w:p>
      <w:pPr>
        <w:widowControl/>
        <w:autoSpaceDE/>
        <w:autoSpaceDN/>
        <w:spacing w:after="0"/>
        <w:rPr>
          <w:rFonts w:ascii="Times New Roman" w:hAnsi="Times New Roman"/>
        </w:rPr>
      </w:pPr>
      <w:r>
        <w:rPr>
          <w:rFonts w:hint="eastAsia" w:ascii="Times New Roman" w:hAnsi="Times New Roman"/>
        </w:rPr>
        <w:t>1、投标人所提供的产品保证是全新、未使用过的，并符合强制性国家技术质量规范和合同规定的质量、规格、性能以及技术规范等要求。</w:t>
      </w:r>
    </w:p>
    <w:p>
      <w:pPr>
        <w:widowControl/>
        <w:autoSpaceDE/>
        <w:autoSpaceDN/>
        <w:spacing w:after="0"/>
        <w:rPr>
          <w:rFonts w:ascii="Times New Roman" w:hAnsi="Times New Roman"/>
        </w:rPr>
      </w:pPr>
      <w:r>
        <w:rPr>
          <w:rFonts w:hint="eastAsia" w:ascii="Times New Roman" w:hAnsi="Times New Roman"/>
        </w:rPr>
        <w:t>2、投标人免费进行疑难问题解答，对实验检测结果进行指导，并通过技术人员上门、往来电子邮件、电话等方式，在3个工作日内解答采购人在使用中遇到的各种技术问题，提出优化解决方案。</w:t>
      </w:r>
    </w:p>
    <w:p>
      <w:pPr>
        <w:widowControl/>
        <w:autoSpaceDE/>
        <w:autoSpaceDN/>
        <w:spacing w:after="0"/>
        <w:rPr>
          <w:rFonts w:ascii="Times New Roman" w:hAnsi="Times New Roman"/>
        </w:rPr>
      </w:pPr>
      <w:r>
        <w:rPr>
          <w:rFonts w:hint="eastAsia" w:ascii="Times New Roman" w:hAnsi="Times New Roman"/>
        </w:rPr>
        <w:t>3、售后服务及技术保障：投标人对由于设计、工艺或材料的缺陷而发生的任何问题及影响负责；在采购人使用过程中，如有产品质量问题（不影响检验结果情况下），投标人14天内无条件进行更换。</w:t>
      </w:r>
    </w:p>
    <w:p>
      <w:pPr>
        <w:widowControl/>
        <w:autoSpaceDE/>
        <w:autoSpaceDN/>
        <w:spacing w:after="0"/>
        <w:rPr>
          <w:rFonts w:ascii="Times New Roman" w:hAnsi="Times New Roman"/>
        </w:rPr>
      </w:pPr>
      <w:r>
        <w:rPr>
          <w:rFonts w:hint="eastAsia" w:ascii="Times New Roman" w:hAnsi="Times New Roman"/>
        </w:rPr>
        <w:t>（四）培训要求</w:t>
      </w:r>
    </w:p>
    <w:p>
      <w:pPr>
        <w:widowControl/>
        <w:autoSpaceDE/>
        <w:autoSpaceDN/>
        <w:spacing w:after="0"/>
        <w:ind w:firstLine="420" w:firstLineChars="200"/>
        <w:rPr>
          <w:rFonts w:ascii="Times New Roman" w:hAnsi="Times New Roman"/>
        </w:rPr>
      </w:pPr>
      <w:r>
        <w:rPr>
          <w:rFonts w:hint="eastAsia" w:ascii="Times New Roman" w:hAnsi="Times New Roman"/>
        </w:rPr>
        <w:t>投标人需根据采购人需求进行产品或技术培训，每年1-2次。</w:t>
      </w:r>
    </w:p>
    <w:p>
      <w:pPr>
        <w:widowControl/>
        <w:autoSpaceDE/>
        <w:autoSpaceDN/>
        <w:spacing w:line="278" w:lineRule="auto"/>
        <w:rPr>
          <w:rFonts w:ascii="Times New Roman" w:hAnsi="Times New Roman"/>
        </w:rPr>
      </w:pPr>
    </w:p>
    <w:p>
      <w:pPr>
        <w:pStyle w:val="5"/>
        <w:autoSpaceDE/>
        <w:autoSpaceDN/>
        <w:spacing w:after="0"/>
      </w:pPr>
      <w:r>
        <w:rPr>
          <w:rFonts w:hint="eastAsia"/>
        </w:rPr>
        <w:t>附件 采购清单</w:t>
      </w:r>
    </w:p>
    <w:tbl>
      <w:tblPr>
        <w:tblStyle w:val="15"/>
        <w:tblW w:w="9782" w:type="dxa"/>
        <w:tblInd w:w="-289" w:type="dxa"/>
        <w:tblLayout w:type="autofit"/>
        <w:tblCellMar>
          <w:top w:w="0" w:type="dxa"/>
          <w:left w:w="108" w:type="dxa"/>
          <w:bottom w:w="0" w:type="dxa"/>
          <w:right w:w="108" w:type="dxa"/>
        </w:tblCellMar>
      </w:tblPr>
      <w:tblGrid>
        <w:gridCol w:w="710"/>
        <w:gridCol w:w="844"/>
        <w:gridCol w:w="2536"/>
        <w:gridCol w:w="1297"/>
        <w:gridCol w:w="709"/>
        <w:gridCol w:w="709"/>
        <w:gridCol w:w="1559"/>
        <w:gridCol w:w="1418"/>
      </w:tblGrid>
      <w:tr>
        <w:tblPrEx>
          <w:tblCellMar>
            <w:top w:w="0" w:type="dxa"/>
            <w:left w:w="108" w:type="dxa"/>
            <w:bottom w:w="0" w:type="dxa"/>
            <w:right w:w="108" w:type="dxa"/>
          </w:tblCellMar>
        </w:tblPrEx>
        <w:trPr>
          <w:trHeight w:val="1044"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color w:val="000000"/>
                <w:szCs w:val="24"/>
              </w:rPr>
            </w:pPr>
            <w:r>
              <w:rPr>
                <w:rFonts w:ascii="Times New Roman" w:hAnsi="Times New Roman"/>
                <w:b/>
                <w:bCs/>
                <w:color w:val="000000"/>
                <w:szCs w:val="24"/>
              </w:rPr>
              <w:t>包号</w:t>
            </w:r>
          </w:p>
        </w:tc>
        <w:tc>
          <w:tcPr>
            <w:tcW w:w="844"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品目</w:t>
            </w:r>
          </w:p>
        </w:tc>
        <w:tc>
          <w:tcPr>
            <w:tcW w:w="2536"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标的名称</w:t>
            </w:r>
          </w:p>
        </w:tc>
        <w:tc>
          <w:tcPr>
            <w:tcW w:w="1297"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规格</w:t>
            </w:r>
          </w:p>
        </w:tc>
        <w:tc>
          <w:tcPr>
            <w:tcW w:w="709"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单位</w:t>
            </w:r>
          </w:p>
        </w:tc>
        <w:tc>
          <w:tcPr>
            <w:tcW w:w="709"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数量</w:t>
            </w:r>
          </w:p>
        </w:tc>
        <w:tc>
          <w:tcPr>
            <w:tcW w:w="1559"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szCs w:val="24"/>
              </w:rPr>
            </w:pPr>
            <w:r>
              <w:rPr>
                <w:rFonts w:ascii="Times New Roman" w:hAnsi="Times New Roman"/>
                <w:b/>
                <w:bCs/>
                <w:szCs w:val="24"/>
              </w:rPr>
              <w:t>采购品目单价预算金额（万元）</w:t>
            </w:r>
          </w:p>
        </w:tc>
        <w:tc>
          <w:tcPr>
            <w:tcW w:w="1418" w:type="dxa"/>
            <w:tcBorders>
              <w:top w:val="single" w:color="auto" w:sz="4" w:space="0"/>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b/>
                <w:bCs/>
                <w:color w:val="000000"/>
                <w:szCs w:val="24"/>
              </w:rPr>
            </w:pPr>
            <w:r>
              <w:rPr>
                <w:rFonts w:ascii="Times New Roman" w:hAnsi="Times New Roman"/>
                <w:b/>
                <w:bCs/>
                <w:color w:val="000000"/>
                <w:szCs w:val="24"/>
              </w:rPr>
              <w:t>是否接受进口产品投标</w:t>
            </w:r>
          </w:p>
        </w:tc>
      </w:tr>
      <w:tr>
        <w:tblPrEx>
          <w:tblCellMar>
            <w:top w:w="0" w:type="dxa"/>
            <w:left w:w="108" w:type="dxa"/>
            <w:bottom w:w="0" w:type="dxa"/>
            <w:right w:w="108" w:type="dxa"/>
          </w:tblCellMar>
        </w:tblPrEx>
        <w:trPr>
          <w:trHeight w:val="312" w:hRule="atLeast"/>
        </w:trPr>
        <w:tc>
          <w:tcPr>
            <w:tcW w:w="710" w:type="dxa"/>
            <w:vMerge w:val="restart"/>
            <w:tcBorders>
              <w:top w:val="nil"/>
              <w:left w:val="single" w:color="auto" w:sz="4" w:space="0"/>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w:t>
            </w: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Blood RNA Kit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w:t>
            </w:r>
            <w:r>
              <w:rPr>
                <w:rFonts w:hint="eastAsia" w:ascii="Times New Roman" w:hAnsi="Times New Roman"/>
                <w:szCs w:val="24"/>
              </w:rPr>
              <w:t>/</w:t>
            </w:r>
            <w:r>
              <w:rPr>
                <w:rFonts w:ascii="Times New Roman" w:hAnsi="Times New Roman"/>
                <w:szCs w:val="24"/>
              </w:rPr>
              <w: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0.5ml离心管</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0.0018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1.5ml离心管</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0.0017</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10ml移液管</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200支/盒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0.0186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14细胞因子检测试剂盒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2.16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1ml吸头</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1×PBS（500ml）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2×PCR SuperMix(+dye)</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15×1ml/包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200µL吸头</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25cm细胞培养瓶，透气盖，TC处理（20个/包）</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20个/包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25ml移液管</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200支/盒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0.033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500mL淋巴细胞分离液</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0.0948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5a感受细胞</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10×100 µl/包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0.0153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6cm直径细胞培养皿</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10个/袋</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0.0034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75cm细胞培养瓶，透气盖，TC处理（5个）</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5个/包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0.0045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A83-01</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100mg/支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0.274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AapCas12b</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1000pmol/盒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0.65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Accutase 100ml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0.081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Acetylcysteine (N-acetylcysteine)</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5mg/瓶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0.1029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Akt antibody（100µl）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神经元细胞培养添加剂</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0.1083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BDNF antibody（100µl）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w:t>
            </w:r>
            <w:r>
              <w:rPr>
                <w:rFonts w:hint="eastAsia" w:ascii="Times New Roman" w:hAnsi="Times New Roman"/>
                <w:color w:val="000000"/>
                <w:szCs w:val="24"/>
              </w:rPr>
              <w:t>397</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Biotin-14-dCTP</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 nmol/瓶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0.7</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CCK8试剂盒（3000次）</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3000T/盒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0.302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CEP290抗体（100µl）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ChIP检测试剂盒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0.47</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DMEM 培养基</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43</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DMSO（500ml）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0.024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 marker（100PREPS）</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0.0291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DNA/siRNA转试剂</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0.524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DNA纯化试剂盒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DNA提取试剂盒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200次/盒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DNA专用建库试剂盒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DNA转染试剂</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0.4ml/支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0.3395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Double Strand cDNA Synthesis Kit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DSPE-PEG2K-T7(50mg)</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50mg/包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0.308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Eagle MEM（500ml）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0.0305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1248"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CD3 Pos Sel Kit 人T细胞正选试剂盒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w:t>
            </w:r>
            <w:r>
              <w:rPr>
                <w:rFonts w:ascii="Times New Roman" w:hAnsi="Times New Roman"/>
                <w:szCs w:val="24"/>
                <w:vertAlign w:val="superscript"/>
              </w:rPr>
              <w:t>9</w:t>
            </w:r>
            <w:r>
              <w:rPr>
                <w:rFonts w:ascii="Times New Roman" w:hAnsi="Times New Roman"/>
                <w:szCs w:val="24"/>
              </w:rPr>
              <w:t xml:space="preserve"> cells/盒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0.5092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1-39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2*Qpcr Mastermix-LowRox</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r>
              <w:rPr>
                <w:rFonts w:ascii="Times New Roman" w:hAnsi="Times New Roman"/>
                <w:color w:val="000000"/>
                <w:szCs w:val="24"/>
              </w:rPr>
              <w:t>×</w:t>
            </w:r>
            <w:r>
              <w:rPr>
                <w:rFonts w:ascii="Times New Roman" w:hAnsi="Times New Roman"/>
                <w:szCs w:val="24"/>
              </w:rPr>
              <w:t>1ml/</w:t>
            </w:r>
            <w:r>
              <w:rPr>
                <w:rFonts w:hint="eastAsia" w:ascii="Times New Roman" w:hAnsi="Times New Roman"/>
                <w:szCs w:val="24"/>
              </w:rPr>
              <w:t>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GFAP 抗体（100µl）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w:t>
            </w:r>
            <w:r>
              <w:rPr>
                <w:rFonts w:hint="eastAsia" w:ascii="Times New Roman" w:hAnsi="Times New Roman"/>
                <w:szCs w:val="24"/>
              </w:rPr>
              <w:t>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Glutamax (100ml）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0.0434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GSK3β ELISA Kit（96T）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High Pure dNTPs(10mM each)</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1ml/管</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管</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0.099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FGF-10</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10µg/支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0.0599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KGF</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10µg/支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0.0855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Noggin</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20µg/支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0.1675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Human RSPO1</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20µg/支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0.1675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1248"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Hu CD3/CD28 TCell Act, 2 mL人T细胞扩增激活剂</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w:t>
            </w:r>
            <w:r>
              <w:rPr>
                <w:rFonts w:ascii="Times New Roman" w:hAnsi="Times New Roman"/>
                <w:szCs w:val="24"/>
                <w:vertAlign w:val="superscript"/>
              </w:rPr>
              <w:t xml:space="preserve">8 </w:t>
            </w:r>
            <w:r>
              <w:rPr>
                <w:rFonts w:ascii="Times New Roman" w:hAnsi="Times New Roman"/>
                <w:szCs w:val="24"/>
              </w:rPr>
              <w:t>beads/mL/支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0.1417</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1-49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 Cell Exp Medium, 500 mL人T细胞扩增培养基</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0.1099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IMPase ELISA Kit（96T）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INPP5E ELISA Kit（96T）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INPPP5E 抗体（100µ）</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LB固体培养基(干粉)</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250g/瓶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LB液体培养基(干粉)</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250g/瓶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MEM培养基</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0.0278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MSKl抗体（100µl）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MTT细胞增殖及细胞毒性检测试剂盒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500T/个</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0.0253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NeuN抗体（100µl）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Non-essential Amino Acids 100X</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0.0228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NPHPl抗体（100µl）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PBS，pH 7.4 (1X) 细胞培养级</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PCR八排管（0.2ml）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125排/盒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PCR产物纯化试剂盒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1000次/盒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PI3K抗体（100µl）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PIP2 ELISA Kit（96T）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PIP3 ELISA Kit（96T）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PIP5KIγ抗体（100µl）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Probe qPCR SuperMix</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1ml×25/个</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PTEN ELISA Kit（96T）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0.53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PVDF膜（0.45UM）</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27cm</w:t>
            </w:r>
            <w:r>
              <w:rPr>
                <w:rFonts w:ascii="Times New Roman" w:hAnsi="Times New Roman"/>
                <w:szCs w:val="24"/>
              </w:rPr>
              <w:t xml:space="preserve"> </w:t>
            </w:r>
            <w:r>
              <w:rPr>
                <w:rFonts w:hint="eastAsia" w:ascii="Times New Roman" w:hAnsi="Times New Roman"/>
                <w:szCs w:val="24"/>
              </w:rPr>
              <w:t>X</w:t>
            </w:r>
            <w:r>
              <w:rPr>
                <w:rFonts w:ascii="Times New Roman" w:hAnsi="Times New Roman"/>
                <w:szCs w:val="24"/>
              </w:rPr>
              <w:t xml:space="preserve"> </w:t>
            </w:r>
            <w:r>
              <w:rPr>
                <w:rFonts w:hint="eastAsia" w:ascii="Times New Roman" w:hAnsi="Times New Roman"/>
                <w:szCs w:val="24"/>
              </w:rPr>
              <w:t>1.875m/盒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Ribonuclease Inhibitor</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10KU/包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0.08415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RNA保存管</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10管×20/箱</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RNA提取试剂盒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RNA专用建库试剂盒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0.85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分选用buffer 250ml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0.0402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RPMI 1640（500ml）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RT-PCR 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SB 202190</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100mg/瓶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0.1335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1-79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SDS-PAGE凝胶配制试剂盒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125 Gels/盒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0.0369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1248"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T4 Polynucleotide Kinase（250U）</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2,500 units/支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0.3783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Taq高保真DNA聚合酶</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TBS/Tween缓冲液 （10×，500ml）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0.0068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TMEM231抗体（100µl）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5k DNA Marker</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25×500µl/袋</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5α Chemically Competent Cell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10×100 µl/包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0.0153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1248"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 Marker 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5×500 µl/袋</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0.044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1248"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DNA Marker ll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5×500 µl/袋</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0.055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1248"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Green One-Step qRT-PCR SuperMix</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400×20 µl/袋</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0.232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1-89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嵌套，含12孔板</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48嵌套/箱</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嵌套，含12孔板（PC膜，12mm，0.4um)</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 xml:space="preserve">12嵌套/块 </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0.038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嵌套，含24孔板</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 xml:space="preserve"> 48嵌套/箱</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0.125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总RNA提取试剂</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0.2425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Ultra SYBR Mixture（Low ROX）</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40ml/</w:t>
            </w:r>
            <w:r>
              <w:rPr>
                <w:rFonts w:hint="eastAsia" w:ascii="Times New Roman" w:hAnsi="Times New Roman"/>
                <w:szCs w:val="24"/>
              </w:rPr>
              <w:t>个</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WB抗体快速剥离缓冲液（ 温和通用型）（500ml）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0.0128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Y-27632</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10mg/瓶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0.0876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β-catenin抗体（100µl）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100µl/支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超纯水（500ml）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低生长因子基质胶，无酚红</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1-99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电泳液（500ml）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0.0369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凋亡检测试剂盒（100T）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0.2828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定量PCR预混液</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100T/个</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冻存管1.8mL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50个/包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冻存管5mL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50个/包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冻存盒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81格/个</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0.0008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反转录试剂盒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0.131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1248"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封固剂withDAPI</w:t>
            </w:r>
          </w:p>
          <w:p>
            <w:pPr>
              <w:widowControl/>
              <w:autoSpaceDE/>
              <w:autoSpaceDN/>
              <w:spacing w:after="0" w:line="240" w:lineRule="auto"/>
              <w:jc w:val="center"/>
              <w:rPr>
                <w:rFonts w:ascii="Times New Roman" w:hAnsi="Times New Roman"/>
                <w:szCs w:val="24"/>
              </w:rPr>
            </w:pPr>
            <w:r>
              <w:rPr>
                <w:rFonts w:ascii="Times New Roman" w:hAnsi="Times New Roman"/>
                <w:szCs w:val="24"/>
              </w:rPr>
              <w:t>（100ml）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0.0872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封口膜</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 mm × 38 m</w:t>
            </w:r>
            <w:r>
              <w:rPr>
                <w:rFonts w:hint="eastAsia" w:ascii="Times New Roman" w:hAnsi="Times New Roman"/>
                <w:szCs w:val="24"/>
              </w:rPr>
              <w:t>/</w:t>
            </w:r>
            <w:r>
              <w:rPr>
                <w:rFonts w:ascii="Times New Roman" w:hAnsi="Times New Roman"/>
                <w:szCs w:val="24"/>
              </w:rPr>
              <w:t>卷</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卷</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0.0175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海肾萤光素酶报告基因检测试剂盒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0.0455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1-109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核酸染料（0.5ml）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≥0.5ml/支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0.05335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痕量DNA建库试剂盒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化学发光底物（500ml）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500ml/套</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套</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0.245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肌醇（1G）</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1g</w:t>
            </w:r>
            <w:r>
              <w:rPr>
                <w:rFonts w:hint="eastAsia" w:ascii="Times New Roman" w:hAnsi="Times New Roman"/>
                <w:szCs w:val="24"/>
              </w:rPr>
              <w:t>/瓶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0.0635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基因组DNA提取试剂盒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0.485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建库接头试剂盒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40</w:t>
            </w:r>
            <w:r>
              <w:rPr>
                <w:rFonts w:ascii="Times New Roman" w:hAnsi="Times New Roman"/>
                <w:color w:val="000000"/>
                <w:szCs w:val="24"/>
              </w:rPr>
              <w:t>μ</w:t>
            </w:r>
            <w:r>
              <w:rPr>
                <w:rFonts w:ascii="Times New Roman" w:hAnsi="Times New Roman"/>
                <w:szCs w:val="24"/>
              </w:rPr>
              <w:t>l/盒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0.125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接种环10</w:t>
            </w:r>
            <w:r>
              <w:rPr>
                <w:rFonts w:ascii="Times New Roman" w:hAnsi="Times New Roman"/>
                <w:color w:val="000000"/>
                <w:szCs w:val="24"/>
              </w:rPr>
              <w:t>μ</w:t>
            </w:r>
            <w:r>
              <w:rPr>
                <w:rFonts w:ascii="Times New Roman" w:hAnsi="Times New Roman"/>
                <w:szCs w:val="24"/>
              </w:rPr>
              <w:t>l灭菌</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r>
              <w:rPr>
                <w:rFonts w:ascii="Times New Roman" w:hAnsi="Times New Roman"/>
                <w:color w:val="000000"/>
                <w:szCs w:val="24"/>
              </w:rPr>
              <w:t>μ</w:t>
            </w:r>
            <w:r>
              <w:rPr>
                <w:rFonts w:ascii="Times New Roman" w:hAnsi="Times New Roman"/>
                <w:szCs w:val="24"/>
              </w:rPr>
              <w:t>l</w:t>
            </w:r>
            <w:r>
              <w:rPr>
                <w:rFonts w:hint="eastAsia" w:ascii="Times New Roman" w:hAnsi="Times New Roman"/>
                <w:szCs w:val="24"/>
              </w:rPr>
              <w:t>/个</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个</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0.00015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离心管(15ml)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500支/箱</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16</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0.0776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离心管（50ml）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500支/箱</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0.0873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免冰浴快速转膜缓冲液 ( 10×，500ml）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0.0088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1-119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免疫组化封闭试剂（500ml）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0.0776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免疫组化固定/通透化处理试剂盒（96T）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0.388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逆转录试剂盒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琼脂糖（100G）</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100g/瓶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0.048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人脑膜原代细胞</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5×10</w:t>
            </w:r>
            <w:r>
              <w:rPr>
                <w:rFonts w:ascii="Times New Roman" w:hAnsi="Times New Roman" w:cs="Cambria Math"/>
                <w:color w:val="000000"/>
                <w:szCs w:val="24"/>
              </w:rPr>
              <w:t>⁵</w:t>
            </w:r>
            <w:r>
              <w:rPr>
                <w:rFonts w:ascii="Times New Roman" w:hAnsi="Times New Roman"/>
                <w:color w:val="000000"/>
                <w:szCs w:val="24"/>
              </w:rPr>
              <w:t xml:space="preserve"> cells/瓶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0.965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实时荧光DNA扩增</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2500 rxns/盒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0.4569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速溶型蛋白上样缓冲液</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15×1ml/袋</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袋</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0.0188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胎牛血清（500ml）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0.64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特异性核酸扩增指示剂</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10mg/瓶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0.65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通用建库试剂盒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1-129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通用型DNA回收试剂盒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0.096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脱氧核糖核酸恒温扩增试剂盒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4×48T/盒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0.65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脱脂奶粉（100G）</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100g/瓶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0.0058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无蛋白快速封闭液 （1×，500ml）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500m/瓶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0.0128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无菌带滤芯吸头(1000μL，10×96T)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10×96支/盒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0.149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无菌带滤芯吸头(100μL，10×96T)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10×96支/盒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0.129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无菌带滤芯吸头(10μL，10×96T)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10×96支/盒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0.1185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无菌离心管（0.5ml）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0.0136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无菌离心管（1.5ml）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500支/盒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0.0065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无菌吸头（0.01ml）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10×</w:t>
            </w: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0.024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1-139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无菌吸头（0.2ml）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10×</w:t>
            </w: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0.024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无菌吸头（1ml）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color w:val="000000"/>
                <w:szCs w:val="24"/>
              </w:rPr>
              <w:t>10×</w:t>
            </w:r>
            <w:r>
              <w:rPr>
                <w:rFonts w:ascii="Times New Roman" w:hAnsi="Times New Roman"/>
                <w:szCs w:val="24"/>
              </w:rPr>
              <w:t>96T/盒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0.0286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吸头（10μL）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1000支/包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0.0012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细胞培养板（12孔）</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12孔/块</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0.0009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细胞培养板（24孔）</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24孔/块</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0.0008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1248"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细胞培养板（6孔）</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6孔/50块/箱</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细胞培养板（96孔）</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96孔/块</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块</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0.00095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细胞培养瓶（T25）</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20个/包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0.0035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细胞培养瓶（T75）</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20个/包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60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细胞增殖试剂盒（100T）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1-149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限制性内切酶</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1000U/支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8</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0.0421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血液/细胞/组织基因组DNA提取试剂盒（250T）</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200次/盒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0.1455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样本冻存管（2.0ml）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2ml，50个</w:t>
            </w:r>
            <w:r>
              <w:rPr>
                <w:rFonts w:hint="eastAsia" w:ascii="Times New Roman" w:hAnsi="Times New Roman"/>
                <w:szCs w:val="24"/>
              </w:rPr>
              <w:t>/包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0.0011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一次性横向测流纳米流生物传感条（CRISPR专用）</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100个/包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0.65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一次性横向测流生物传感条（#1）</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100个/包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7</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0.65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一次性横向测流生物传感条（#2）</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hint="eastAsia" w:ascii="Times New Roman" w:hAnsi="Times New Roman"/>
                <w:szCs w:val="24"/>
              </w:rPr>
              <w:t>100个/包</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包</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0.75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93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一次性使用塑料试管</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100支×10袋/箱</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箱</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12</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0.065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胰酶0.25%（100ml）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100ml/瓶</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瓶</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30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荧光标记二抗</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0.194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1-158</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HRP标记二抗</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1ml/支</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支</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0.194</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1-159</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长片段高保真PCR试剂盒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0.2522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1-160</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质粒大提试剂盒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10次/盒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质粒小提试剂盒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0.066</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重组酶聚合酶扩增试剂盒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0.4569</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组织RNA提取试剂盒（100ml）</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0.1453</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312"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NC膜</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27 cm x 3.75 m</w:t>
            </w:r>
            <w:r>
              <w:rPr>
                <w:rFonts w:hint="eastAsia" w:ascii="Times New Roman" w:hAnsi="Times New Roman"/>
                <w:szCs w:val="24"/>
              </w:rPr>
              <w:t>/</w:t>
            </w:r>
            <w:r>
              <w:rPr>
                <w:rFonts w:ascii="Times New Roman" w:hAnsi="Times New Roman"/>
                <w:szCs w:val="24"/>
              </w:rPr>
              <w:t>卷</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卷</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是</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1-165</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病毒基因组提取试剂盒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15</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0.11</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1-166</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粪便基因组 DNA 提取试剂盒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0.098</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1-167</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血液基因组 DNA 提取试剂盒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100T/盒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盒</w:t>
            </w:r>
          </w:p>
        </w:tc>
        <w:tc>
          <w:tcPr>
            <w:tcW w:w="709"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0.15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restart"/>
            <w:tcBorders>
              <w:top w:val="nil"/>
              <w:left w:val="single" w:color="auto" w:sz="4" w:space="0"/>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2</w:t>
            </w: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2-1</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人瘦素</w:t>
            </w:r>
            <w:r>
              <w:rPr>
                <w:rFonts w:ascii="Times New Roman" w:hAnsi="Times New Roman" w:cs="Arial"/>
                <w:szCs w:val="24"/>
              </w:rPr>
              <w:t>(LEP)elisa</w:t>
            </w:r>
            <w:r>
              <w:rPr>
                <w:rFonts w:ascii="Times New Roman" w:hAnsi="Times New Roman"/>
                <w:szCs w:val="24"/>
              </w:rPr>
              <w:t>试剂盒</w:t>
            </w:r>
          </w:p>
        </w:tc>
        <w:tc>
          <w:tcPr>
            <w:tcW w:w="1297"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48T</w:t>
            </w:r>
            <w:r>
              <w:rPr>
                <w:rFonts w:ascii="Times New Roman" w:hAnsi="Times New Roman"/>
                <w:szCs w:val="24"/>
              </w:rPr>
              <w: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0.352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2-2</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人脂联素(ADPN)elisa试剂盒</w:t>
            </w:r>
          </w:p>
        </w:tc>
        <w:tc>
          <w:tcPr>
            <w:tcW w:w="1297"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48T</w:t>
            </w:r>
            <w:r>
              <w:rPr>
                <w:rFonts w:ascii="Times New Roman" w:hAnsi="Times New Roman"/>
                <w:szCs w:val="24"/>
              </w:rPr>
              <w: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14</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0.352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2496"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2-3</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葡萄糖（Glu）试剂盒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R1:6*44ml</w:t>
            </w:r>
            <w:r>
              <w:rPr>
                <w:rFonts w:ascii="Times New Roman" w:hAnsi="Times New Roman" w:cs="Arial"/>
                <w:sz w:val="18"/>
                <w:szCs w:val="18"/>
              </w:rPr>
              <w:t xml:space="preserve"> </w:t>
            </w:r>
            <w:r>
              <w:rPr>
                <w:rFonts w:ascii="Times New Roman" w:hAnsi="Times New Roman"/>
                <w:color w:val="000000"/>
                <w:szCs w:val="24"/>
              </w:rPr>
              <w:br w:type="textWrapping"/>
            </w:r>
            <w:r>
              <w:rPr>
                <w:rFonts w:ascii="Times New Roman" w:hAnsi="Times New Roman"/>
                <w:color w:val="000000"/>
                <w:szCs w:val="24"/>
              </w:rPr>
              <w:t>R2:3*45ml</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hint="eastAsia" w:ascii="Times New Roman" w:hAnsi="Times New Roman"/>
                <w:color w:val="000000"/>
                <w:szCs w:val="24"/>
              </w:rPr>
              <w:t>人份</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1</w:t>
            </w:r>
            <w:r>
              <w:rPr>
                <w:rFonts w:hint="eastAsia" w:ascii="Times New Roman" w:hAnsi="Times New Roman"/>
                <w:color w:val="000000"/>
                <w:szCs w:val="24"/>
              </w:rPr>
              <w:t>618</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hint="eastAsia" w:ascii="Times New Roman" w:hAnsi="Times New Roman"/>
                <w:color w:val="000000"/>
                <w:szCs w:val="24"/>
              </w:rPr>
              <w:t>0.0005</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r>
        <w:tblPrEx>
          <w:tblCellMar>
            <w:top w:w="0" w:type="dxa"/>
            <w:left w:w="108" w:type="dxa"/>
            <w:bottom w:w="0" w:type="dxa"/>
            <w:right w:w="108" w:type="dxa"/>
          </w:tblCellMar>
        </w:tblPrEx>
        <w:trPr>
          <w:trHeight w:val="624" w:hRule="atLeast"/>
        </w:trPr>
        <w:tc>
          <w:tcPr>
            <w:tcW w:w="710" w:type="dxa"/>
            <w:vMerge w:val="continue"/>
            <w:tcBorders>
              <w:top w:val="nil"/>
              <w:left w:val="single" w:color="auto" w:sz="4" w:space="0"/>
              <w:bottom w:val="single" w:color="auto" w:sz="4" w:space="0"/>
              <w:right w:val="single" w:color="auto" w:sz="4" w:space="0"/>
            </w:tcBorders>
            <w:vAlign w:val="center"/>
          </w:tcPr>
          <w:p>
            <w:pPr>
              <w:widowControl/>
              <w:autoSpaceDE/>
              <w:autoSpaceDN/>
              <w:spacing w:after="0" w:line="240" w:lineRule="auto"/>
              <w:rPr>
                <w:rFonts w:ascii="Times New Roman" w:hAnsi="Times New Roman"/>
                <w:color w:val="000000"/>
                <w:szCs w:val="24"/>
              </w:rPr>
            </w:pPr>
          </w:p>
        </w:tc>
        <w:tc>
          <w:tcPr>
            <w:tcW w:w="844"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2-4</w:t>
            </w:r>
          </w:p>
        </w:tc>
        <w:tc>
          <w:tcPr>
            <w:tcW w:w="2536"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血脂四项检测试剂盒</w:t>
            </w:r>
          </w:p>
        </w:tc>
        <w:tc>
          <w:tcPr>
            <w:tcW w:w="1297" w:type="dxa"/>
            <w:tcBorders>
              <w:top w:val="nil"/>
              <w:left w:val="nil"/>
              <w:bottom w:val="single" w:color="auto" w:sz="4" w:space="0"/>
              <w:right w:val="single" w:color="auto" w:sz="4" w:space="0"/>
            </w:tcBorders>
            <w:vAlign w:val="center"/>
          </w:tcPr>
          <w:p>
            <w:pPr>
              <w:widowControl/>
              <w:autoSpaceDE/>
              <w:autoSpaceDN/>
              <w:spacing w:after="0" w:line="240" w:lineRule="auto"/>
              <w:jc w:val="center"/>
              <w:rPr>
                <w:rFonts w:ascii="Times New Roman" w:hAnsi="Times New Roman"/>
                <w:szCs w:val="24"/>
              </w:rPr>
            </w:pPr>
            <w:r>
              <w:rPr>
                <w:rFonts w:ascii="Times New Roman" w:hAnsi="Times New Roman"/>
                <w:szCs w:val="24"/>
              </w:rPr>
              <w:t>50T/48S/盒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盒</w:t>
            </w:r>
          </w:p>
        </w:tc>
        <w:tc>
          <w:tcPr>
            <w:tcW w:w="70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20</w:t>
            </w:r>
          </w:p>
        </w:tc>
        <w:tc>
          <w:tcPr>
            <w:tcW w:w="1559"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0.2</w:t>
            </w:r>
          </w:p>
        </w:tc>
        <w:tc>
          <w:tcPr>
            <w:tcW w:w="1418" w:type="dxa"/>
            <w:tcBorders>
              <w:top w:val="nil"/>
              <w:left w:val="nil"/>
              <w:bottom w:val="single" w:color="auto" w:sz="4" w:space="0"/>
              <w:right w:val="single" w:color="auto" w:sz="4" w:space="0"/>
            </w:tcBorders>
            <w:noWrap/>
            <w:vAlign w:val="center"/>
          </w:tcPr>
          <w:p>
            <w:pPr>
              <w:widowControl/>
              <w:autoSpaceDE/>
              <w:autoSpaceDN/>
              <w:spacing w:after="0" w:line="240" w:lineRule="auto"/>
              <w:jc w:val="center"/>
              <w:rPr>
                <w:rFonts w:ascii="Times New Roman" w:hAnsi="Times New Roman"/>
                <w:color w:val="000000"/>
                <w:szCs w:val="24"/>
              </w:rPr>
            </w:pPr>
            <w:r>
              <w:rPr>
                <w:rFonts w:ascii="Times New Roman" w:hAnsi="Times New Roman"/>
                <w:color w:val="000000"/>
                <w:szCs w:val="24"/>
              </w:rPr>
              <w:t>否</w:t>
            </w:r>
          </w:p>
        </w:tc>
      </w:tr>
    </w:tbl>
    <w:p>
      <w:pPr>
        <w:rPr>
          <w:rFonts w:ascii="Times New Roman" w:hAnsi="Times New Roman"/>
        </w:rPr>
      </w:pPr>
    </w:p>
    <w:p>
      <w:pPr>
        <w:rPr>
          <w:rFonts w:ascii="Times New Roman" w:hAnsi="Times New Roman"/>
        </w:rPr>
      </w:pPr>
    </w:p>
    <w:p>
      <w:pPr>
        <w:widowControl/>
        <w:autoSpaceDE/>
        <w:autoSpaceDN/>
        <w:spacing w:line="278" w:lineRule="auto"/>
        <w:rPr>
          <w:rFonts w:ascii="Times New Roman" w:hAnsi="Times New Roman"/>
          <w:sz w:val="36"/>
          <w:szCs w:val="84"/>
        </w:rPr>
      </w:pPr>
      <w:r>
        <w:rPr>
          <w:rFonts w:ascii="Times New Roman" w:hAnsi="Times New Roman"/>
        </w:rPr>
        <w:br w:type="page"/>
      </w:r>
    </w:p>
    <w:p>
      <w:pPr>
        <w:pStyle w:val="4"/>
        <w:autoSpaceDE/>
        <w:autoSpaceDN/>
        <w:spacing w:after="0"/>
      </w:pPr>
      <w:r>
        <w:t>第六章</w:t>
      </w:r>
      <w:r>
        <w:tab/>
      </w:r>
      <w:r>
        <w:t>拟签订的合同文本</w:t>
      </w:r>
      <w:bookmarkEnd w:id="1"/>
      <w:bookmarkEnd w:id="2"/>
    </w:p>
    <w:p>
      <w:pPr>
        <w:pStyle w:val="9"/>
        <w:autoSpaceDE/>
        <w:autoSpaceDN/>
        <w:spacing w:after="0"/>
        <w:ind w:left="298" w:right="290"/>
      </w:pPr>
      <w:r>
        <w:t>说明：</w:t>
      </w:r>
    </w:p>
    <w:p>
      <w:pPr>
        <w:pStyle w:val="20"/>
        <w:numPr>
          <w:ilvl w:val="0"/>
          <w:numId w:val="1"/>
        </w:numPr>
        <w:tabs>
          <w:tab w:val="left" w:pos="1052"/>
        </w:tabs>
        <w:spacing w:after="0"/>
        <w:ind w:right="686"/>
        <w:jc w:val="both"/>
        <w:rPr>
          <w:rFonts w:ascii="Times New Roman" w:hAnsi="Times New Roman"/>
        </w:rPr>
      </w:pPr>
      <w:r>
        <w:rPr>
          <w:rFonts w:ascii="Times New Roman" w:hAnsi="Times New Roman"/>
        </w:rPr>
        <w:t>为更大力度激发市场活力和社会创造力，增强发展动力，按照《北京市全面优化营商环境助力企业高质量发展实施方案》（京政办发〔2023〕8</w:t>
      </w:r>
      <w:r>
        <w:rPr>
          <w:rFonts w:ascii="Times New Roman" w:hAnsi="Times New Roman"/>
          <w:spacing w:val="32"/>
        </w:rPr>
        <w:t xml:space="preserve"> </w:t>
      </w:r>
      <w:r>
        <w:rPr>
          <w:rFonts w:ascii="Times New Roman" w:hAnsi="Times New Roman"/>
        </w:rPr>
        <w:t>号）部署，进一步加强</w:t>
      </w:r>
      <w:r>
        <w:rPr>
          <w:rFonts w:ascii="Times New Roman" w:hAnsi="Times New Roman"/>
          <w:spacing w:val="-1"/>
        </w:rPr>
        <w:t>政府采购合同线上融资“</w:t>
      </w:r>
      <w:r>
        <w:rPr>
          <w:rFonts w:ascii="Times New Roman" w:hAnsi="Times New Roman"/>
        </w:rPr>
        <w:t>一站式”</w:t>
      </w:r>
      <w:r>
        <w:rPr>
          <w:rFonts w:ascii="Times New Roman" w:hAnsi="Times New Roman"/>
          <w:spacing w:val="-9"/>
        </w:rPr>
        <w:t>服务</w:t>
      </w:r>
      <w:r>
        <w:rPr>
          <w:rFonts w:ascii="Times New Roman" w:hAnsi="Times New Roman"/>
        </w:rPr>
        <w:t>（以下简称“政采贷</w:t>
      </w:r>
      <w:r>
        <w:rPr>
          <w:rFonts w:ascii="Times New Roman" w:hAnsi="Times New Roman"/>
          <w:spacing w:val="-11"/>
        </w:rPr>
        <w:t>”）</w:t>
      </w:r>
      <w:r>
        <w:rPr>
          <w:rFonts w:ascii="Times New Roman" w:hAnsi="Times New Roman"/>
          <w:spacing w:val="-6"/>
        </w:rPr>
        <w:t>，北京市财政局、中国人民</w:t>
      </w:r>
      <w:r>
        <w:rPr>
          <w:rFonts w:ascii="Times New Roman" w:hAnsi="Times New Roman"/>
          <w:spacing w:val="-3"/>
        </w:rPr>
        <w:t>银行营业管理部联合发布《关于推进政府采购合同线上融资有关工作的通知》</w:t>
      </w:r>
      <w:r>
        <w:rPr>
          <w:rFonts w:ascii="Times New Roman" w:hAnsi="Times New Roman"/>
        </w:rPr>
        <w:t>（</w:t>
      </w:r>
      <w:r>
        <w:rPr>
          <w:rFonts w:ascii="Times New Roman" w:hAnsi="Times New Roman"/>
          <w:spacing w:val="-4"/>
        </w:rPr>
        <w:t>京财采</w:t>
      </w:r>
      <w:r>
        <w:rPr>
          <w:rFonts w:ascii="Times New Roman" w:hAnsi="Times New Roman"/>
        </w:rPr>
        <w:t>购〔2023〕637</w:t>
      </w:r>
      <w:r>
        <w:rPr>
          <w:rFonts w:ascii="Times New Roman" w:hAnsi="Times New Roman"/>
          <w:spacing w:val="11"/>
        </w:rPr>
        <w:t xml:space="preserve"> </w:t>
      </w:r>
      <w:r>
        <w:rPr>
          <w:rFonts w:ascii="Times New Roman" w:hAnsi="Times New Roman"/>
        </w:rPr>
        <w:t>号）。有需求的供应商，可按上述通知要求办理“政采贷”。采购人应</w:t>
      </w:r>
      <w:r>
        <w:rPr>
          <w:rFonts w:ascii="Times New Roman" w:hAnsi="Times New Roman"/>
          <w:spacing w:val="-4"/>
        </w:rPr>
        <w:t>积极配合供应商获得政府采购合同融资贷款，无特殊原因，应在收到供应商因融资需要</w:t>
      </w:r>
      <w:r>
        <w:rPr>
          <w:rFonts w:ascii="Times New Roman" w:hAnsi="Times New Roman"/>
          <w:spacing w:val="-6"/>
          <w:w w:val="105"/>
        </w:rPr>
        <w:t xml:space="preserve">发起的变更收款账户申请后 </w:t>
      </w:r>
      <w:r>
        <w:rPr>
          <w:rFonts w:ascii="Times New Roman" w:hAnsi="Times New Roman"/>
          <w:w w:val="105"/>
        </w:rPr>
        <w:t>10</w:t>
      </w:r>
      <w:r>
        <w:rPr>
          <w:rFonts w:ascii="Times New Roman" w:hAnsi="Times New Roman"/>
          <w:spacing w:val="-22"/>
          <w:w w:val="105"/>
        </w:rPr>
        <w:t xml:space="preserve"> </w:t>
      </w:r>
      <w:r>
        <w:rPr>
          <w:rFonts w:ascii="Times New Roman" w:hAnsi="Times New Roman"/>
          <w:w w:val="105"/>
        </w:rPr>
        <w:t>个工作日内确认通过。</w:t>
      </w:r>
    </w:p>
    <w:p>
      <w:pPr>
        <w:pStyle w:val="20"/>
        <w:numPr>
          <w:ilvl w:val="0"/>
          <w:numId w:val="1"/>
        </w:numPr>
        <w:tabs>
          <w:tab w:val="left" w:pos="931"/>
        </w:tabs>
        <w:spacing w:after="0"/>
        <w:ind w:right="691"/>
        <w:jc w:val="both"/>
        <w:rPr>
          <w:rFonts w:ascii="Times New Roman" w:hAnsi="Times New Roman"/>
        </w:rPr>
      </w:pPr>
      <w:r>
        <w:rPr>
          <w:rFonts w:ascii="Times New Roman" w:hAnsi="Times New Roman"/>
          <w:spacing w:val="-2"/>
        </w:rPr>
        <w:t xml:space="preserve">采购人应严格按照要求，在中标、成交通知书发出之日起 </w:t>
      </w:r>
      <w:r>
        <w:rPr>
          <w:rFonts w:ascii="Times New Roman" w:hAnsi="Times New Roman"/>
        </w:rPr>
        <w:t>30</w:t>
      </w:r>
      <w:r>
        <w:rPr>
          <w:rFonts w:ascii="Times New Roman" w:hAnsi="Times New Roman"/>
          <w:spacing w:val="10"/>
        </w:rPr>
        <w:t xml:space="preserve"> </w:t>
      </w:r>
      <w:r>
        <w:rPr>
          <w:rFonts w:ascii="Times New Roman" w:hAnsi="Times New Roman"/>
          <w:spacing w:val="-2"/>
        </w:rPr>
        <w:t>日内签订采购合同，鼓</w:t>
      </w:r>
      <w:r>
        <w:rPr>
          <w:rFonts w:ascii="Times New Roman" w:hAnsi="Times New Roman"/>
          <w:spacing w:val="-5"/>
        </w:rPr>
        <w:t>励采购人在线签订电子合同，完善电子签章管理、合同审核等配套内控机制，进一步缩</w:t>
      </w:r>
      <w:r>
        <w:rPr>
          <w:rFonts w:ascii="Times New Roman" w:hAnsi="Times New Roman"/>
        </w:rPr>
        <w:t>短合同签订期限。</w:t>
      </w:r>
    </w:p>
    <w:p>
      <w:pPr>
        <w:pStyle w:val="20"/>
        <w:numPr>
          <w:ilvl w:val="0"/>
          <w:numId w:val="1"/>
        </w:numPr>
        <w:tabs>
          <w:tab w:val="left" w:pos="1038"/>
        </w:tabs>
        <w:spacing w:after="0"/>
        <w:ind w:right="571"/>
        <w:rPr>
          <w:rFonts w:ascii="Times New Roman" w:hAnsi="Times New Roman"/>
        </w:rPr>
      </w:pPr>
      <w:r>
        <w:rPr>
          <w:rFonts w:ascii="Times New Roman" w:hAnsi="Times New Roman"/>
        </w:rPr>
        <w:t>合同类型按照民法典规定的典型合同类别，结合采购标的的实际情况确定。合同文</w:t>
      </w:r>
      <w:r>
        <w:rPr>
          <w:rFonts w:ascii="Times New Roman" w:hAnsi="Times New Roman"/>
          <w:spacing w:val="-3"/>
        </w:rPr>
        <w:t>本应当符合民法典及《政府采购需求管理办法》</w:t>
      </w:r>
      <w:r>
        <w:rPr>
          <w:rFonts w:ascii="Times New Roman" w:hAnsi="Times New Roman"/>
        </w:rPr>
        <w:t>（</w:t>
      </w:r>
      <w:r>
        <w:rPr>
          <w:rFonts w:ascii="Times New Roman" w:hAnsi="Times New Roman"/>
          <w:spacing w:val="-4"/>
        </w:rPr>
        <w:t>财库〔</w:t>
      </w:r>
      <w:r>
        <w:rPr>
          <w:rFonts w:ascii="Times New Roman" w:hAnsi="Times New Roman"/>
        </w:rPr>
        <w:t>2021</w:t>
      </w:r>
      <w:r>
        <w:rPr>
          <w:rFonts w:ascii="Times New Roman" w:hAnsi="Times New Roman"/>
          <w:spacing w:val="-10"/>
        </w:rPr>
        <w:t>〕</w:t>
      </w:r>
      <w:r>
        <w:rPr>
          <w:rFonts w:ascii="Times New Roman" w:hAnsi="Times New Roman"/>
        </w:rPr>
        <w:t>22</w:t>
      </w:r>
      <w:r>
        <w:rPr>
          <w:rFonts w:ascii="Times New Roman" w:hAnsi="Times New Roman"/>
          <w:spacing w:val="31"/>
        </w:rPr>
        <w:t xml:space="preserve"> </w:t>
      </w:r>
      <w:r>
        <w:rPr>
          <w:rFonts w:ascii="Times New Roman" w:hAnsi="Times New Roman"/>
        </w:rPr>
        <w:t>号</w:t>
      </w:r>
      <w:r>
        <w:rPr>
          <w:rFonts w:ascii="Times New Roman" w:hAnsi="Times New Roman"/>
          <w:spacing w:val="-10"/>
        </w:rPr>
        <w:t>）</w:t>
      </w:r>
      <w:r>
        <w:rPr>
          <w:rFonts w:ascii="Times New Roman" w:hAnsi="Times New Roman"/>
          <w:spacing w:val="-3"/>
        </w:rPr>
        <w:t>的要求，包含</w:t>
      </w:r>
      <w:r>
        <w:rPr>
          <w:rFonts w:ascii="Times New Roman" w:hAnsi="Times New Roman"/>
          <w:spacing w:val="-12"/>
        </w:rPr>
        <w:t>法定必备条款和采购需求的所有内容，并至少包括以下内容：标的名称，采购标的质量、</w:t>
      </w:r>
      <w:r>
        <w:rPr>
          <w:rFonts w:ascii="Times New Roman" w:hAnsi="Times New Roman"/>
          <w:spacing w:val="-3"/>
        </w:rPr>
        <w:t>数量</w:t>
      </w:r>
      <w:r>
        <w:rPr>
          <w:rFonts w:ascii="Times New Roman" w:hAnsi="Times New Roman"/>
        </w:rPr>
        <w:t>（规模</w:t>
      </w:r>
      <w:r>
        <w:rPr>
          <w:rFonts w:ascii="Times New Roman" w:hAnsi="Times New Roman"/>
          <w:spacing w:val="-7"/>
        </w:rPr>
        <w:t>）</w:t>
      </w:r>
      <w:r>
        <w:rPr>
          <w:rFonts w:ascii="Times New Roman" w:hAnsi="Times New Roman"/>
          <w:spacing w:val="-4"/>
        </w:rPr>
        <w:t>，履行时间</w:t>
      </w:r>
      <w:r>
        <w:rPr>
          <w:rFonts w:ascii="Times New Roman" w:hAnsi="Times New Roman"/>
        </w:rPr>
        <w:t>（期限</w:t>
      </w:r>
      <w:r>
        <w:rPr>
          <w:rFonts w:ascii="Times New Roman" w:hAnsi="Times New Roman"/>
          <w:spacing w:val="-5"/>
        </w:rPr>
        <w:t>）、地点和方式，包装方式，价款或者报酬、付款进度</w:t>
      </w:r>
      <w:r>
        <w:rPr>
          <w:rFonts w:ascii="Times New Roman" w:hAnsi="Times New Roman"/>
          <w:spacing w:val="-9"/>
        </w:rPr>
        <w:t>安排、资金支付方式，验收、交付标准和方法，质量保修范围和保修期，违约责任与解决争议的方法等。</w:t>
      </w:r>
    </w:p>
    <w:p>
      <w:pPr>
        <w:pStyle w:val="20"/>
        <w:numPr>
          <w:ilvl w:val="0"/>
          <w:numId w:val="1"/>
        </w:numPr>
        <w:tabs>
          <w:tab w:val="left" w:pos="1050"/>
        </w:tabs>
        <w:spacing w:after="0"/>
        <w:ind w:right="691"/>
        <w:rPr>
          <w:rFonts w:ascii="Times New Roman" w:hAnsi="Times New Roman"/>
        </w:rPr>
      </w:pPr>
      <w:r>
        <w:rPr>
          <w:rFonts w:ascii="Times New Roman" w:hAnsi="Times New Roman"/>
          <w:spacing w:val="-4"/>
        </w:rPr>
        <w:t>合同条款中应规定，乙方完全遵守《中华人民共和国妇女权益保障法》中关于</w:t>
      </w:r>
      <w:r>
        <w:rPr>
          <w:rFonts w:ascii="Times New Roman" w:hAnsi="Times New Roman"/>
        </w:rPr>
        <w:t>“</w:t>
      </w:r>
      <w:r>
        <w:rPr>
          <w:rFonts w:ascii="Times New Roman" w:hAnsi="Times New Roman"/>
          <w:spacing w:val="-8"/>
        </w:rPr>
        <w:t>劳动</w:t>
      </w:r>
      <w:r>
        <w:rPr>
          <w:rFonts w:ascii="Times New Roman" w:hAnsi="Times New Roman"/>
          <w:w w:val="110"/>
        </w:rPr>
        <w:t>和社会保障权益”的有关要求。</w:t>
      </w:r>
    </w:p>
    <w:p>
      <w:pPr>
        <w:pStyle w:val="20"/>
        <w:numPr>
          <w:ilvl w:val="0"/>
          <w:numId w:val="1"/>
        </w:numPr>
        <w:tabs>
          <w:tab w:val="left" w:pos="1052"/>
        </w:tabs>
        <w:spacing w:after="0"/>
        <w:ind w:right="691"/>
        <w:jc w:val="both"/>
        <w:rPr>
          <w:rFonts w:ascii="Times New Roman" w:hAnsi="Times New Roman"/>
        </w:rPr>
      </w:pPr>
      <w:r>
        <w:rPr>
          <w:rFonts w:ascii="Times New Roman" w:hAnsi="Times New Roman"/>
        </w:rPr>
        <w:t>对于通过预留采购项目、预留专门采购包、要求以联合体形式参加或者合同分包等</w:t>
      </w:r>
      <w:r>
        <w:rPr>
          <w:rFonts w:ascii="Times New Roman" w:hAnsi="Times New Roman"/>
          <w:spacing w:val="-5"/>
        </w:rPr>
        <w:t>措施签订的采购合同，应当明确标注本合同为中小企业预留合同。其中，要求以联合体</w:t>
      </w:r>
      <w:r>
        <w:rPr>
          <w:rFonts w:ascii="Times New Roman" w:hAnsi="Times New Roman"/>
          <w:spacing w:val="-4"/>
        </w:rPr>
        <w:t>形式参加采购活动或者合同分包的，应当将联合协议或者分包意向协议作为采购合同的</w:t>
      </w:r>
      <w:r>
        <w:rPr>
          <w:rFonts w:ascii="Times New Roman" w:hAnsi="Times New Roman"/>
        </w:rPr>
        <w:t>组成部分。</w:t>
      </w:r>
    </w:p>
    <w:p>
      <w:pPr>
        <w:pStyle w:val="20"/>
        <w:numPr>
          <w:ilvl w:val="0"/>
          <w:numId w:val="1"/>
        </w:numPr>
        <w:tabs>
          <w:tab w:val="left" w:pos="1052"/>
        </w:tabs>
        <w:spacing w:after="0"/>
        <w:ind w:right="691"/>
        <w:jc w:val="both"/>
        <w:rPr>
          <w:rFonts w:ascii="Times New Roman" w:hAnsi="Times New Roman"/>
        </w:rPr>
      </w:pPr>
      <w:r>
        <w:rPr>
          <w:rFonts w:ascii="Times New Roman" w:hAnsi="Times New Roman"/>
        </w:rPr>
        <w:t>政府采购合同设定首付款支付方式的，首付款支付比例原则上不低于合同金额的30%；对于中小企业，首付款支付比例原则上不低于合同金额的 50%。</w:t>
      </w:r>
    </w:p>
    <w:p>
      <w:pPr>
        <w:pStyle w:val="20"/>
        <w:numPr>
          <w:ilvl w:val="0"/>
          <w:numId w:val="1"/>
        </w:numPr>
        <w:tabs>
          <w:tab w:val="left" w:pos="1052"/>
        </w:tabs>
        <w:spacing w:after="0"/>
        <w:ind w:right="691"/>
        <w:jc w:val="both"/>
        <w:rPr>
          <w:rFonts w:ascii="Times New Roman" w:hAnsi="Times New Roman"/>
        </w:rPr>
      </w:pPr>
      <w:bookmarkStart w:id="3" w:name="第七章___投标文件格式"/>
      <w:bookmarkEnd w:id="3"/>
      <w:r>
        <w:rPr>
          <w:rFonts w:ascii="Times New Roman" w:hAnsi="Times New Roman"/>
        </w:rPr>
        <w:t>政府采购合同应当约定资金支付的方式、时间和条件，明确逾期支付资金的违约责</w:t>
      </w:r>
      <w:r>
        <w:rPr>
          <w:rFonts w:ascii="Times New Roman" w:hAnsi="Times New Roman"/>
          <w:spacing w:val="-2"/>
        </w:rPr>
        <w:t xml:space="preserve">任。对于满足合同约定支付条件的，采购人原则上应当自收到发票后 </w:t>
      </w:r>
      <w:r>
        <w:rPr>
          <w:rFonts w:ascii="Times New Roman" w:hAnsi="Times New Roman"/>
        </w:rPr>
        <w:t>10</w:t>
      </w:r>
      <w:r>
        <w:rPr>
          <w:rFonts w:ascii="Times New Roman" w:hAnsi="Times New Roman"/>
          <w:spacing w:val="8"/>
        </w:rPr>
        <w:t xml:space="preserve"> </w:t>
      </w:r>
      <w:r>
        <w:rPr>
          <w:rFonts w:ascii="Times New Roman" w:hAnsi="Times New Roman"/>
          <w:spacing w:val="-3"/>
        </w:rPr>
        <w:t>个工作日内将</w:t>
      </w:r>
      <w:r>
        <w:rPr>
          <w:rFonts w:ascii="Times New Roman" w:hAnsi="Times New Roman"/>
          <w:spacing w:val="-7"/>
        </w:rPr>
        <w:t xml:space="preserve">资金支付到合同约定的供应商账户，鼓励采购人完善内部流程，自收到发票后 </w:t>
      </w:r>
      <w:r>
        <w:rPr>
          <w:rFonts w:ascii="Times New Roman" w:hAnsi="Times New Roman"/>
        </w:rPr>
        <w:t>1</w:t>
      </w:r>
      <w:r>
        <w:rPr>
          <w:rFonts w:ascii="Times New Roman" w:hAnsi="Times New Roman"/>
          <w:spacing w:val="-8"/>
        </w:rPr>
        <w:t xml:space="preserve"> </w:t>
      </w:r>
      <w:r>
        <w:rPr>
          <w:rFonts w:ascii="Times New Roman" w:hAnsi="Times New Roman"/>
          <w:spacing w:val="-6"/>
        </w:rPr>
        <w:t>个工作</w:t>
      </w:r>
      <w:r>
        <w:rPr>
          <w:rFonts w:ascii="Times New Roman" w:hAnsi="Times New Roman"/>
          <w:spacing w:val="-5"/>
        </w:rPr>
        <w:t>日内完成资金支付事宜。采购人和供应商对资金支付产生争议的，应当按照法律规定和</w:t>
      </w:r>
      <w:r>
        <w:rPr>
          <w:rFonts w:ascii="Times New Roman" w:hAnsi="Times New Roman"/>
        </w:rPr>
        <w:t>合同约定及时解决，保证资金支付效率。</w:t>
      </w:r>
    </w:p>
    <w:p>
      <w:pPr>
        <w:pStyle w:val="20"/>
        <w:numPr>
          <w:ilvl w:val="0"/>
          <w:numId w:val="1"/>
        </w:numPr>
        <w:tabs>
          <w:tab w:val="left" w:pos="1052"/>
        </w:tabs>
        <w:spacing w:after="0"/>
        <w:ind w:right="691"/>
        <w:jc w:val="both"/>
        <w:rPr>
          <w:rFonts w:ascii="Times New Roman" w:hAnsi="Times New Roman"/>
        </w:rPr>
      </w:pPr>
      <w:r>
        <w:rPr>
          <w:rFonts w:ascii="Times New Roman" w:hAnsi="Times New Roman"/>
        </w:rPr>
        <w:t>采购文件对商品包装和快递包装提出具体要求的，政府采购合同应当载明对政府采</w:t>
      </w:r>
      <w:r>
        <w:rPr>
          <w:rFonts w:ascii="Times New Roman" w:hAnsi="Times New Roman"/>
          <w:spacing w:val="-3"/>
        </w:rPr>
        <w:t>购供应商提供产品及相关快递服务的具体包装要求和履约验收相关条款，必要时要求中</w:t>
      </w:r>
      <w:r>
        <w:rPr>
          <w:rFonts w:ascii="Times New Roman" w:hAnsi="Times New Roman"/>
        </w:rPr>
        <w:t>标、成交供应商在履约验收环节出具检测报告。</w:t>
      </w:r>
    </w:p>
    <w:p>
      <w:pPr>
        <w:pStyle w:val="20"/>
        <w:numPr>
          <w:ilvl w:val="0"/>
          <w:numId w:val="1"/>
        </w:numPr>
        <w:tabs>
          <w:tab w:val="left" w:pos="1052"/>
        </w:tabs>
        <w:spacing w:after="0"/>
        <w:ind w:right="691"/>
        <w:jc w:val="both"/>
        <w:rPr>
          <w:rFonts w:ascii="Times New Roman" w:hAnsi="Times New Roman"/>
        </w:rPr>
      </w:pPr>
      <w:r>
        <w:rPr>
          <w:rFonts w:ascii="Times New Roman" w:hAnsi="Times New Roman"/>
        </w:rPr>
        <w:t>履约验收方案应当在合同中约定。履约验收方案要明确履约验收的主体、时间、方</w:t>
      </w:r>
      <w:r>
        <w:rPr>
          <w:rFonts w:ascii="Times New Roman" w:hAnsi="Times New Roman"/>
          <w:spacing w:val="-8"/>
        </w:rPr>
        <w:t>式、程序、内容和验收标准等事项。采购人、采购代理机构可以邀请参加本项目的其他</w:t>
      </w:r>
      <w:r>
        <w:rPr>
          <w:rFonts w:ascii="Times New Roman" w:hAnsi="Times New Roman"/>
          <w:spacing w:val="-4"/>
        </w:rPr>
        <w:t>供应商或者第三方专业机构及专家参与验收，相关验收意见作为验收的参考资料。政府向社会公众提供的公共服务项目，验收时应当邀请服务对象参与并出具意见，验收结果</w:t>
      </w:r>
      <w:r>
        <w:rPr>
          <w:rFonts w:ascii="Times New Roman" w:hAnsi="Times New Roman"/>
        </w:rPr>
        <w:t>应当向社会公告。</w:t>
      </w:r>
    </w:p>
    <w:p>
      <w:pPr>
        <w:snapToGrid w:val="0"/>
        <w:spacing w:line="540" w:lineRule="exact"/>
        <w:jc w:val="both"/>
        <w:outlineLvl w:val="0"/>
        <w:rPr>
          <w:rFonts w:hint="default"/>
          <w:b/>
          <w:sz w:val="36"/>
          <w:szCs w:val="36"/>
          <w:lang w:val="en-US" w:eastAsia="zh-CN"/>
        </w:rPr>
      </w:pPr>
      <w:bookmarkStart w:id="4" w:name="_GoBack"/>
      <w:bookmarkEnd w:id="4"/>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53</w: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A42CAE"/>
    <w:multiLevelType w:val="multilevel"/>
    <w:tmpl w:val="60A42CAE"/>
    <w:lvl w:ilvl="0" w:tentative="0">
      <w:start w:val="1"/>
      <w:numFmt w:val="decimal"/>
      <w:lvlText w:val="%1."/>
      <w:lvlJc w:val="left"/>
      <w:pPr>
        <w:ind w:left="701" w:hanging="351"/>
      </w:pPr>
      <w:rPr>
        <w:rFonts w:hint="default" w:ascii="Times New Roman" w:hAnsi="Times New Roman" w:eastAsia="宋体" w:cs="Arial"/>
        <w:b w:val="0"/>
        <w:bCs w:val="0"/>
        <w:i w:val="0"/>
        <w:iCs w:val="0"/>
        <w:spacing w:val="-2"/>
        <w:w w:val="114"/>
        <w:sz w:val="24"/>
        <w:szCs w:val="24"/>
        <w:lang w:val="en-US" w:eastAsia="zh-CN" w:bidi="ar-SA"/>
      </w:rPr>
    </w:lvl>
    <w:lvl w:ilvl="1" w:tentative="0">
      <w:start w:val="0"/>
      <w:numFmt w:val="bullet"/>
      <w:lvlText w:val="•"/>
      <w:lvlJc w:val="left"/>
      <w:pPr>
        <w:ind w:left="1676" w:hanging="351"/>
      </w:pPr>
      <w:rPr>
        <w:rFonts w:hint="default"/>
        <w:lang w:val="en-US" w:eastAsia="zh-CN" w:bidi="ar-SA"/>
      </w:rPr>
    </w:lvl>
    <w:lvl w:ilvl="2" w:tentative="0">
      <w:start w:val="0"/>
      <w:numFmt w:val="bullet"/>
      <w:lvlText w:val="•"/>
      <w:lvlJc w:val="left"/>
      <w:pPr>
        <w:ind w:left="2653" w:hanging="351"/>
      </w:pPr>
      <w:rPr>
        <w:rFonts w:hint="default"/>
        <w:lang w:val="en-US" w:eastAsia="zh-CN" w:bidi="ar-SA"/>
      </w:rPr>
    </w:lvl>
    <w:lvl w:ilvl="3" w:tentative="0">
      <w:start w:val="0"/>
      <w:numFmt w:val="bullet"/>
      <w:lvlText w:val="•"/>
      <w:lvlJc w:val="left"/>
      <w:pPr>
        <w:ind w:left="3630" w:hanging="351"/>
      </w:pPr>
      <w:rPr>
        <w:rFonts w:hint="default"/>
        <w:lang w:val="en-US" w:eastAsia="zh-CN" w:bidi="ar-SA"/>
      </w:rPr>
    </w:lvl>
    <w:lvl w:ilvl="4" w:tentative="0">
      <w:start w:val="0"/>
      <w:numFmt w:val="bullet"/>
      <w:lvlText w:val="•"/>
      <w:lvlJc w:val="left"/>
      <w:pPr>
        <w:ind w:left="4606" w:hanging="351"/>
      </w:pPr>
      <w:rPr>
        <w:rFonts w:hint="default"/>
        <w:lang w:val="en-US" w:eastAsia="zh-CN" w:bidi="ar-SA"/>
      </w:rPr>
    </w:lvl>
    <w:lvl w:ilvl="5" w:tentative="0">
      <w:start w:val="0"/>
      <w:numFmt w:val="bullet"/>
      <w:lvlText w:val="•"/>
      <w:lvlJc w:val="left"/>
      <w:pPr>
        <w:ind w:left="5583" w:hanging="351"/>
      </w:pPr>
      <w:rPr>
        <w:rFonts w:hint="default"/>
        <w:lang w:val="en-US" w:eastAsia="zh-CN" w:bidi="ar-SA"/>
      </w:rPr>
    </w:lvl>
    <w:lvl w:ilvl="6" w:tentative="0">
      <w:start w:val="0"/>
      <w:numFmt w:val="bullet"/>
      <w:lvlText w:val="•"/>
      <w:lvlJc w:val="left"/>
      <w:pPr>
        <w:ind w:left="6560" w:hanging="351"/>
      </w:pPr>
      <w:rPr>
        <w:rFonts w:hint="default"/>
        <w:lang w:val="en-US" w:eastAsia="zh-CN" w:bidi="ar-SA"/>
      </w:rPr>
    </w:lvl>
    <w:lvl w:ilvl="7" w:tentative="0">
      <w:start w:val="0"/>
      <w:numFmt w:val="bullet"/>
      <w:lvlText w:val="•"/>
      <w:lvlJc w:val="left"/>
      <w:pPr>
        <w:ind w:left="7536" w:hanging="351"/>
      </w:pPr>
      <w:rPr>
        <w:rFonts w:hint="default"/>
        <w:lang w:val="en-US" w:eastAsia="zh-CN" w:bidi="ar-SA"/>
      </w:rPr>
    </w:lvl>
    <w:lvl w:ilvl="8" w:tentative="0">
      <w:start w:val="0"/>
      <w:numFmt w:val="bullet"/>
      <w:lvlText w:val="•"/>
      <w:lvlJc w:val="left"/>
      <w:pPr>
        <w:ind w:left="8513" w:hanging="351"/>
      </w:pPr>
      <w:rPr>
        <w:rFonts w:hint="default"/>
        <w:lang w:val="en-US" w:eastAsia="zh-CN"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638A7"/>
    <w:rsid w:val="042711E9"/>
    <w:rsid w:val="04B9724B"/>
    <w:rsid w:val="0671051C"/>
    <w:rsid w:val="0872092E"/>
    <w:rsid w:val="14A26D8F"/>
    <w:rsid w:val="16545117"/>
    <w:rsid w:val="1726356D"/>
    <w:rsid w:val="394D2B6F"/>
    <w:rsid w:val="3C9E0560"/>
    <w:rsid w:val="3F3E6946"/>
    <w:rsid w:val="3F71347F"/>
    <w:rsid w:val="4B7E2B6C"/>
    <w:rsid w:val="521073DB"/>
    <w:rsid w:val="5D9D153B"/>
    <w:rsid w:val="5E240131"/>
    <w:rsid w:val="5F64532F"/>
    <w:rsid w:val="685A6F6C"/>
    <w:rsid w:val="6DA01CBF"/>
    <w:rsid w:val="6F4776AE"/>
    <w:rsid w:val="6FF65CE1"/>
    <w:rsid w:val="70F013FA"/>
    <w:rsid w:val="774638A7"/>
    <w:rsid w:val="79A40E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9"/>
    <w:pPr>
      <w:ind w:left="11" w:right="125"/>
      <w:jc w:val="center"/>
      <w:outlineLvl w:val="0"/>
    </w:pPr>
    <w:rPr>
      <w:rFonts w:ascii="Times New Roman" w:hAnsi="Times New Roman"/>
      <w:sz w:val="36"/>
      <w:szCs w:val="84"/>
    </w:rPr>
  </w:style>
  <w:style w:type="paragraph" w:styleId="5">
    <w:name w:val="heading 2"/>
    <w:basedOn w:val="1"/>
    <w:next w:val="1"/>
    <w:unhideWhenUsed/>
    <w:qFormat/>
    <w:uiPriority w:val="9"/>
    <w:pPr>
      <w:outlineLvl w:val="1"/>
    </w:pPr>
    <w:rPr>
      <w:rFonts w:ascii="Times New Roman" w:hAnsi="Times New Roman"/>
      <w:b/>
      <w:szCs w:val="52"/>
    </w:rPr>
  </w:style>
  <w:style w:type="paragraph" w:styleId="6">
    <w:name w:val="heading 3"/>
    <w:basedOn w:val="1"/>
    <w:next w:val="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paragraph" w:styleId="7">
    <w:name w:val="Normal Indent"/>
    <w:basedOn w:val="1"/>
    <w:qFormat/>
    <w:uiPriority w:val="0"/>
    <w:pPr>
      <w:autoSpaceDE w:val="0"/>
      <w:autoSpaceDN w:val="0"/>
      <w:adjustRightInd w:val="0"/>
      <w:ind w:firstLine="420"/>
      <w:jc w:val="left"/>
    </w:pPr>
    <w:rPr>
      <w:rFonts w:ascii="宋体"/>
      <w:sz w:val="24"/>
    </w:rPr>
  </w:style>
  <w:style w:type="paragraph" w:styleId="8">
    <w:name w:val="annotation text"/>
    <w:basedOn w:val="1"/>
    <w:qFormat/>
    <w:uiPriority w:val="99"/>
    <w:pPr>
      <w:jc w:val="left"/>
    </w:pPr>
  </w:style>
  <w:style w:type="paragraph" w:styleId="9">
    <w:name w:val="Body Text"/>
    <w:basedOn w:val="1"/>
    <w:qFormat/>
    <w:uiPriority w:val="99"/>
    <w:pPr>
      <w:tabs>
        <w:tab w:val="left" w:pos="567"/>
      </w:tabs>
      <w:spacing w:before="120" w:line="22" w:lineRule="atLeast"/>
    </w:pPr>
    <w:rPr>
      <w:rFonts w:ascii="宋体" w:hAnsi="宋体"/>
      <w:sz w:val="24"/>
    </w:rPr>
  </w:style>
  <w:style w:type="paragraph" w:styleId="10">
    <w:name w:val="Plain Text"/>
    <w:basedOn w:val="1"/>
    <w:qFormat/>
    <w:uiPriority w:val="0"/>
    <w:rPr>
      <w:rFonts w:hint="eastAsia" w:ascii="宋体" w:hAnsi="Courier New"/>
      <w:szCs w:val="20"/>
    </w:rPr>
  </w:style>
  <w:style w:type="paragraph" w:styleId="11">
    <w:name w:val="footer"/>
    <w:basedOn w:val="1"/>
    <w:unhideWhenUsed/>
    <w:qFormat/>
    <w:uiPriority w:val="0"/>
    <w:pPr>
      <w:tabs>
        <w:tab w:val="center" w:pos="4153"/>
        <w:tab w:val="right" w:pos="8306"/>
      </w:tabs>
      <w:snapToGrid w:val="0"/>
      <w:jc w:val="left"/>
    </w:pPr>
    <w:rPr>
      <w:sz w:val="18"/>
      <w:szCs w:val="18"/>
    </w:rPr>
  </w:style>
  <w:style w:type="paragraph" w:styleId="12">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39"/>
    <w:pPr>
      <w:tabs>
        <w:tab w:val="right" w:leader="dot" w:pos="8937"/>
      </w:tabs>
      <w:spacing w:line="312" w:lineRule="auto"/>
      <w:ind w:left="420" w:leftChars="200"/>
    </w:pPr>
  </w:style>
  <w:style w:type="paragraph" w:styleId="1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17">
    <w:name w:val="page number"/>
    <w:qFormat/>
    <w:uiPriority w:val="0"/>
  </w:style>
  <w:style w:type="character" w:styleId="18">
    <w:name w:val="annotation reference"/>
    <w:basedOn w:val="16"/>
    <w:qFormat/>
    <w:uiPriority w:val="99"/>
    <w:rPr>
      <w:sz w:val="21"/>
      <w:szCs w:val="21"/>
    </w:rPr>
  </w:style>
  <w:style w:type="paragraph" w:customStyle="1" w:styleId="19">
    <w:name w:val="SOW正文"/>
    <w:basedOn w:val="1"/>
    <w:qFormat/>
    <w:uiPriority w:val="0"/>
    <w:pPr>
      <w:snapToGrid w:val="0"/>
      <w:spacing w:before="120" w:line="400" w:lineRule="exact"/>
      <w:ind w:firstLine="425"/>
    </w:pPr>
    <w:rPr>
      <w:rFonts w:ascii="Times New Roman" w:hAnsi="Times New Roman"/>
      <w:sz w:val="24"/>
      <w:szCs w:val="20"/>
    </w:rPr>
  </w:style>
  <w:style w:type="paragraph" w:styleId="20">
    <w:name w:val="List Paragraph"/>
    <w:basedOn w:val="1"/>
    <w:qFormat/>
    <w:uiPriority w:val="34"/>
    <w:pPr>
      <w:ind w:firstLine="420" w:firstLineChars="200"/>
    </w:pPr>
    <w:rPr>
      <w:rFonts w:cs="Times New Roman"/>
      <w:szCs w:val="22"/>
    </w:rPr>
  </w:style>
  <w:style w:type="paragraph" w:customStyle="1" w:styleId="21">
    <w:name w:val="列出段落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2">
    <w:name w:val="列出段落1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3">
    <w:name w:val="_Style 269"/>
    <w:basedOn w:val="1"/>
    <w:next w:val="20"/>
    <w:qFormat/>
    <w:uiPriority w:val="34"/>
    <w:pPr>
      <w:autoSpaceDE/>
      <w:autoSpaceDN/>
      <w:spacing w:line="240" w:lineRule="auto"/>
      <w:ind w:firstLine="420" w:firstLineChars="200"/>
      <w:jc w:val="both"/>
    </w:pPr>
    <w:rPr>
      <w:rFonts w:ascii="Calibri" w:hAnsi="Calibri" w:cs="Times New Roman"/>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2024-07-31T00:37:00Z</dcterms:created>
  <dc:creator>张雅希</dc:creator>
  <cp:lastModifiedBy>张雅希</cp:lastModifiedBy>
  <dcterms:modified xsi:type="dcterms:W3CDTF">2026-08-17T01:21:01Z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F2C453F9BA9145D09F394B65CD248215</vt:lpwstr>
  </property>
</Properties>
</file>