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rFonts w:hint="default" w:eastAsia="宋体"/>
          <w:b/>
          <w:sz w:val="36"/>
          <w:szCs w:val="36"/>
          <w:lang w:val="en-US" w:eastAsia="zh-CN"/>
        </w:rPr>
      </w:pPr>
      <w:bookmarkStart w:id="0" w:name="_Toc200123571"/>
      <w:r>
        <w:rPr>
          <w:b/>
          <w:sz w:val="36"/>
          <w:szCs w:val="36"/>
        </w:rPr>
        <w:t>采购需求</w:t>
      </w:r>
      <w:bookmarkEnd w:id="0"/>
      <w:r>
        <w:rPr>
          <w:rFonts w:hint="eastAsia"/>
          <w:b/>
          <w:sz w:val="36"/>
          <w:szCs w:val="36"/>
          <w:lang w:val="en-US" w:eastAsia="zh-CN"/>
        </w:rPr>
        <w:t>-03包</w:t>
      </w:r>
    </w:p>
    <w:p>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190"/>
        <w:gridCol w:w="3308"/>
        <w:gridCol w:w="1082"/>
        <w:gridCol w:w="822"/>
        <w:gridCol w:w="1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7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698"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941" w:type="pct"/>
            <w:tcBorders>
              <w:bottom w:val="single" w:color="auto" w:sz="4" w:space="0"/>
            </w:tcBorders>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635"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数量</w:t>
            </w:r>
          </w:p>
        </w:tc>
        <w:tc>
          <w:tcPr>
            <w:tcW w:w="48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单位</w:t>
            </w:r>
          </w:p>
        </w:tc>
        <w:tc>
          <w:tcPr>
            <w:tcW w:w="671"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是否接受进口产品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restart"/>
            <w:noWrap/>
            <w:vAlign w:val="center"/>
          </w:tcPr>
          <w:p>
            <w:pPr>
              <w:spacing w:before="120"/>
              <w:contextualSpacing/>
              <w:jc w:val="center"/>
              <w:rPr>
                <w:rFonts w:ascii="仿宋" w:hAnsi="仿宋" w:eastAsia="仿宋"/>
                <w:sz w:val="24"/>
              </w:rPr>
            </w:pPr>
            <w:r>
              <w:rPr>
                <w:rFonts w:hint="eastAsia" w:ascii="仿宋" w:hAnsi="仿宋" w:eastAsia="仿宋"/>
                <w:sz w:val="24"/>
              </w:rPr>
              <w:t>3</w:t>
            </w:r>
          </w:p>
        </w:tc>
        <w:tc>
          <w:tcPr>
            <w:tcW w:w="698"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3-1</w:t>
            </w:r>
          </w:p>
        </w:tc>
        <w:tc>
          <w:tcPr>
            <w:tcW w:w="1941"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危化品智能储存柜</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12</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3-2</w:t>
            </w:r>
          </w:p>
        </w:tc>
        <w:tc>
          <w:tcPr>
            <w:tcW w:w="1941"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危化品智能组合柜</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3-3</w:t>
            </w:r>
          </w:p>
        </w:tc>
        <w:tc>
          <w:tcPr>
            <w:tcW w:w="1941"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危化品应急处置设备</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3-4</w:t>
            </w:r>
          </w:p>
        </w:tc>
        <w:tc>
          <w:tcPr>
            <w:tcW w:w="1941"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环境检测终端</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color w:val="FF0000"/>
              </w:rPr>
            </w:pPr>
            <w:r>
              <w:rPr>
                <w:rFonts w:hint="eastAsia" w:ascii="仿宋" w:hAnsi="仿宋" w:eastAsia="仿宋" w:cs="宋体"/>
                <w:color w:val="FF0000"/>
                <w:kern w:val="0"/>
                <w:sz w:val="24"/>
              </w:rPr>
              <w:t>3-5</w:t>
            </w:r>
          </w:p>
        </w:tc>
        <w:tc>
          <w:tcPr>
            <w:tcW w:w="1941" w:type="pct"/>
            <w:vAlign w:val="center"/>
          </w:tcPr>
          <w:p>
            <w:pPr>
              <w:widowControl/>
              <w:spacing w:before="120"/>
              <w:contextualSpacing/>
              <w:jc w:val="center"/>
              <w:rPr>
                <w:rFonts w:ascii="仿宋" w:hAnsi="仿宋" w:eastAsia="仿宋" w:cs="宋体"/>
                <w:color w:val="FF0000"/>
                <w:kern w:val="0"/>
                <w:sz w:val="24"/>
              </w:rPr>
            </w:pPr>
            <w:r>
              <w:rPr>
                <w:rFonts w:hint="eastAsia" w:ascii="仿宋" w:hAnsi="仿宋" w:eastAsia="仿宋" w:cs="宋体"/>
                <w:color w:val="FF0000"/>
                <w:kern w:val="0"/>
                <w:sz w:val="24"/>
                <w:lang w:bidi="ar"/>
              </w:rPr>
              <w:t>防爆电器</w:t>
            </w:r>
          </w:p>
        </w:tc>
        <w:tc>
          <w:tcPr>
            <w:tcW w:w="635" w:type="pct"/>
            <w:vAlign w:val="center"/>
          </w:tcPr>
          <w:p>
            <w:pPr>
              <w:spacing w:before="120"/>
              <w:contextualSpacing/>
              <w:jc w:val="center"/>
              <w:rPr>
                <w:rFonts w:ascii="仿宋" w:hAnsi="仿宋" w:eastAsia="仿宋"/>
                <w:color w:val="FF0000"/>
                <w:sz w:val="24"/>
              </w:rPr>
            </w:pPr>
            <w:r>
              <w:rPr>
                <w:rFonts w:hint="eastAsia" w:ascii="仿宋" w:hAnsi="仿宋" w:eastAsia="仿宋"/>
                <w:color w:val="FF0000"/>
                <w:sz w:val="24"/>
              </w:rPr>
              <w:t>3</w:t>
            </w:r>
          </w:p>
        </w:tc>
        <w:tc>
          <w:tcPr>
            <w:tcW w:w="482" w:type="pct"/>
            <w:vAlign w:val="center"/>
          </w:tcPr>
          <w:p>
            <w:pPr>
              <w:widowControl/>
              <w:spacing w:before="120"/>
              <w:contextualSpacing/>
              <w:jc w:val="center"/>
              <w:rPr>
                <w:rFonts w:ascii="仿宋" w:hAnsi="仿宋" w:eastAsia="仿宋" w:cs="宋体"/>
                <w:color w:val="FF0000"/>
                <w:kern w:val="0"/>
                <w:sz w:val="24"/>
              </w:rPr>
            </w:pPr>
            <w:r>
              <w:rPr>
                <w:rFonts w:hint="eastAsia" w:ascii="仿宋" w:hAnsi="仿宋" w:eastAsia="仿宋" w:cs="宋体"/>
                <w:color w:val="FF0000"/>
                <w:kern w:val="0"/>
                <w:sz w:val="24"/>
                <w:lang w:bidi="ar"/>
              </w:rPr>
              <w:t>套</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3-6</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室内防爆空调</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3-7</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地面防静电铜排</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50</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米</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3-8</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人体静电消除装置</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个</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3-9</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喷淋洗眼装置</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3-10</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七氟丙烷灭火装置</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6</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3-11</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总线制报警主机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3-12</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可燃气体报警器</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3-13</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温湿度报警探测器</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3-14</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防爆风机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3-15</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防爆摄像机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6</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3-16</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防爆摄像机支架</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6</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个</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3-17</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普通红外高清数字摄像机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5</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3-18</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硬盘（6T）</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8</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块</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3-19</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交换机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2</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3-20</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硬盘录像主机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3-21</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机柜</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3-22</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门禁控制器</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3-23</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门禁专用标准机箱</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pPr>
            <w:r>
              <w:rPr>
                <w:rFonts w:hint="eastAsia" w:ascii="仿宋" w:hAnsi="仿宋" w:eastAsia="仿宋" w:cs="宋体"/>
                <w:kern w:val="0"/>
                <w:sz w:val="24"/>
              </w:rPr>
              <w:t>3-24</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电磁锁（单开）</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把</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3-25</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门禁读卡器</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3-26</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门禁卡</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10</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张</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3-27</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出门按钮</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个</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3-28</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玻破开关</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个</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3-29</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8路报警主机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3-30</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8路报警主机键盘</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3-31</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防爆双鉴探测器</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ascii="仿宋" w:hAnsi="仿宋" w:eastAsia="仿宋" w:cs="宋体"/>
                <w:kern w:val="0"/>
                <w:sz w:val="24"/>
              </w:rPr>
            </w:pPr>
            <w:r>
              <w:rPr>
                <w:rFonts w:hint="eastAsia" w:ascii="仿宋" w:hAnsi="仿宋" w:eastAsia="仿宋" w:cs="宋体"/>
                <w:kern w:val="0"/>
                <w:sz w:val="24"/>
              </w:rPr>
              <w:t>3-32</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报警联动模块</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ascii="仿宋" w:hAnsi="仿宋" w:eastAsia="仿宋" w:cs="宋体"/>
                <w:kern w:val="0"/>
                <w:sz w:val="24"/>
              </w:rPr>
            </w:pPr>
            <w:r>
              <w:rPr>
                <w:rFonts w:hint="eastAsia" w:ascii="仿宋" w:hAnsi="仿宋" w:eastAsia="仿宋" w:cs="宋体"/>
                <w:kern w:val="0"/>
                <w:sz w:val="24"/>
              </w:rPr>
              <w:t>3-33</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报警打印机</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台</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ascii="仿宋" w:hAnsi="仿宋" w:eastAsia="仿宋" w:cs="宋体"/>
                <w:kern w:val="0"/>
                <w:sz w:val="24"/>
              </w:rPr>
            </w:pPr>
            <w:r>
              <w:rPr>
                <w:rFonts w:hint="eastAsia" w:ascii="仿宋" w:hAnsi="仿宋" w:eastAsia="仿宋" w:cs="宋体"/>
                <w:kern w:val="0"/>
                <w:sz w:val="24"/>
              </w:rPr>
              <w:t>3-34</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危化品应急处置箱</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35</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个</w:t>
            </w:r>
          </w:p>
        </w:tc>
        <w:tc>
          <w:tcPr>
            <w:tcW w:w="671"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73" w:type="pct"/>
            <w:vMerge w:val="continue"/>
            <w:noWrap/>
            <w:vAlign w:val="center"/>
          </w:tcPr>
          <w:p>
            <w:pPr>
              <w:spacing w:before="120"/>
              <w:contextualSpacing/>
              <w:jc w:val="center"/>
              <w:rPr>
                <w:rFonts w:ascii="仿宋" w:hAnsi="仿宋" w:eastAsia="仿宋"/>
                <w:sz w:val="24"/>
              </w:rPr>
            </w:pPr>
          </w:p>
        </w:tc>
        <w:tc>
          <w:tcPr>
            <w:tcW w:w="698" w:type="pct"/>
            <w:vAlign w:val="center"/>
          </w:tcPr>
          <w:p>
            <w:pPr>
              <w:jc w:val="center"/>
              <w:rPr>
                <w:rFonts w:eastAsia="仿宋"/>
              </w:rPr>
            </w:pPr>
            <w:r>
              <w:rPr>
                <w:rFonts w:hint="eastAsia" w:ascii="仿宋" w:hAnsi="仿宋" w:eastAsia="仿宋" w:cs="宋体"/>
                <w:kern w:val="0"/>
                <w:sz w:val="24"/>
              </w:rPr>
              <w:t>3-35</w:t>
            </w:r>
          </w:p>
        </w:tc>
        <w:tc>
          <w:tcPr>
            <w:tcW w:w="1941"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危化品防护服</w:t>
            </w:r>
          </w:p>
        </w:tc>
        <w:tc>
          <w:tcPr>
            <w:tcW w:w="635" w:type="pct"/>
            <w:vAlign w:val="center"/>
          </w:tcPr>
          <w:p>
            <w:pPr>
              <w:widowControl/>
              <w:jc w:val="center"/>
              <w:rPr>
                <w:rFonts w:ascii="仿宋" w:hAnsi="仿宋" w:eastAsia="仿宋" w:cs="宋体"/>
                <w:kern w:val="0"/>
                <w:sz w:val="24"/>
              </w:rPr>
            </w:pPr>
            <w:r>
              <w:rPr>
                <w:rFonts w:hint="eastAsia" w:ascii="仿宋" w:hAnsi="仿宋" w:eastAsia="仿宋" w:cs="宋体"/>
                <w:kern w:val="0"/>
                <w:sz w:val="24"/>
              </w:rPr>
              <w:t>10</w:t>
            </w:r>
          </w:p>
        </w:tc>
        <w:tc>
          <w:tcPr>
            <w:tcW w:w="482" w:type="pct"/>
            <w:vAlign w:val="center"/>
          </w:tcPr>
          <w:p>
            <w:pPr>
              <w:widowControl/>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件</w:t>
            </w:r>
          </w:p>
        </w:tc>
        <w:tc>
          <w:tcPr>
            <w:tcW w:w="671" w:type="pct"/>
            <w:vAlign w:val="center"/>
          </w:tcPr>
          <w:p>
            <w:pPr>
              <w:jc w:val="center"/>
            </w:pPr>
            <w:r>
              <w:rPr>
                <w:rFonts w:hint="eastAsia" w:ascii="仿宋" w:hAnsi="仿宋" w:eastAsia="仿宋" w:cs="宋体"/>
                <w:color w:val="000000"/>
                <w:kern w:val="0"/>
                <w:sz w:val="24"/>
                <w:lang w:bidi="ar"/>
              </w:rPr>
              <w:t>否</w:t>
            </w:r>
          </w:p>
        </w:tc>
      </w:tr>
    </w:tbl>
    <w:p>
      <w:pPr>
        <w:pStyle w:val="2"/>
      </w:pPr>
    </w:p>
    <w:p>
      <w:pPr>
        <w:tabs>
          <w:tab w:val="left" w:pos="4600"/>
        </w:tabs>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pPr>
        <w:snapToGrid w:val="0"/>
        <w:spacing w:line="360" w:lineRule="auto"/>
        <w:ind w:firstLine="480" w:firstLineChars="200"/>
      </w:pPr>
      <w:r>
        <w:rPr>
          <w:rFonts w:hint="eastAsia" w:ascii="仿宋" w:hAnsi="仿宋" w:eastAsia="仿宋" w:cs="仿宋"/>
          <w:bCs/>
          <w:sz w:val="24"/>
        </w:rPr>
        <w:t>首都医科大学附属首都儿童医学中心通州院区作为北京城市副中心建设高标准的儿童医疗服务体系机构，拟定于2027年6月1日正式开诊营业。为保障医院公共秩序与生命财产安全，依据国家和北京市危化品法及相关标准规定要求，医院储存的易燃易爆化学制剂等危化品，设置专用存储场所，使用专用危险品存储柜、通过“双人双锁”管理、环境智能监测等防控手段，实现对危化品存储场所进行安全达标严格管控。</w:t>
      </w:r>
    </w:p>
    <w:p>
      <w:pPr>
        <w:tabs>
          <w:tab w:val="left" w:pos="5456"/>
        </w:tabs>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r>
        <w:rPr>
          <w:rFonts w:ascii="仿宋" w:hAnsi="仿宋" w:eastAsia="仿宋" w:cs="仿宋"/>
          <w:b/>
          <w:bCs/>
          <w:sz w:val="24"/>
        </w:rPr>
        <w:tab/>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第3包：自合同签订生效之日起60个日历日内完成供货安装调试。</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2、交付地点：首都医科大学附属首都儿童医学中心新址，采购人指定地点。</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详见第六章拟签订的合同文本。</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如适用，须满足《关于印发〈商品包装政府采购需求标准（试行）〉、〈快递包装政府采购需求标准（试行）〉的通知》（财办库﹝2020﹞123号）。</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负责包装和运输。投标人交付的产品应符合相关包装储运的国家标准，能承受水平受力、垂直受力、适合长途运输，防潮、防湿、防震、防锈、耐粗暴搬运。由于采用不充分或不妥善的防护措施而造成的任何锈损，投标人应负担由此而产生的一切费用和/或损失。投标人应在每件包装上，用不褪色油墨清楚地标刷件号、目的地、尺码、毛重、净重、“此端向上”，“小心轻放”，“切勿受潮”等字样。</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（四）售后服务（质保期）</w:t>
      </w:r>
    </w:p>
    <w:p>
      <w:pPr>
        <w:pStyle w:val="2"/>
        <w:spacing w:line="360" w:lineRule="auto"/>
        <w:contextualSpacing/>
        <w:rPr>
          <w:rFonts w:ascii="仿宋" w:hAnsi="仿宋" w:eastAsia="仿宋" w:cs="仿宋"/>
          <w:b/>
          <w:bCs/>
        </w:rPr>
      </w:pPr>
      <w:r>
        <w:rPr>
          <w:rFonts w:hint="eastAsia" w:ascii="仿宋" w:hAnsi="仿宋" w:eastAsia="仿宋" w:cs="仿宋"/>
          <w:b/>
          <w:bCs/>
        </w:rPr>
        <w:t>第3包</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1、投标人为采购人提供设备自验收合格之日起为期2年的质保服务。</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2</w:t>
      </w:r>
      <w:r>
        <w:rPr>
          <w:rFonts w:hint="eastAsia" w:ascii="仿宋" w:hAnsi="仿宋" w:eastAsia="仿宋" w:cs="仿宋"/>
          <w:bCs/>
          <w:sz w:val="24"/>
          <w:lang w:eastAsia="zh-Hans"/>
        </w:rPr>
        <w:t>、</w:t>
      </w:r>
      <w:r>
        <w:rPr>
          <w:rFonts w:hint="eastAsia" w:ascii="仿宋" w:hAnsi="仿宋" w:eastAsia="仿宋" w:cs="仿宋"/>
          <w:bCs/>
          <w:sz w:val="24"/>
        </w:rPr>
        <w:t>投标人</w:t>
      </w:r>
      <w:r>
        <w:rPr>
          <w:rFonts w:hint="eastAsia" w:ascii="仿宋" w:hAnsi="仿宋" w:eastAsia="仿宋" w:cs="仿宋"/>
          <w:bCs/>
          <w:sz w:val="24"/>
          <w:lang w:eastAsia="zh-Hans"/>
        </w:rPr>
        <w:t>应具备完善的售后服务体系，有固定的</w:t>
      </w:r>
      <w:r>
        <w:rPr>
          <w:rFonts w:hint="eastAsia" w:ascii="仿宋" w:hAnsi="仿宋" w:eastAsia="仿宋" w:cs="仿宋"/>
          <w:bCs/>
          <w:sz w:val="24"/>
        </w:rPr>
        <w:t>维护中心且</w:t>
      </w:r>
      <w:r>
        <w:rPr>
          <w:rFonts w:hint="eastAsia" w:ascii="仿宋" w:hAnsi="仿宋" w:eastAsia="仿宋" w:cs="仿宋"/>
          <w:bCs/>
          <w:sz w:val="24"/>
          <w:lang w:eastAsia="zh-Hans"/>
        </w:rPr>
        <w:t>维护人员并有能力及时处理所有可能发生的故障。</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（1）</w:t>
      </w:r>
      <w:r>
        <w:rPr>
          <w:rFonts w:hint="eastAsia" w:ascii="仿宋" w:hAnsi="仿宋" w:eastAsia="仿宋" w:cs="仿宋"/>
          <w:bCs/>
          <w:sz w:val="24"/>
        </w:rPr>
        <w:t>投标人</w:t>
      </w:r>
      <w:r>
        <w:rPr>
          <w:rFonts w:hint="eastAsia" w:ascii="仿宋" w:hAnsi="仿宋" w:eastAsia="仿宋" w:cs="仿宋"/>
          <w:bCs/>
          <w:sz w:val="24"/>
          <w:lang w:eastAsia="zh-Hans"/>
        </w:rPr>
        <w:t>须提供7×8小时电话技术支持服务，并指定专人负责本项目的售后联络。</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（2）故障响应时间：接到</w:t>
      </w:r>
      <w:r>
        <w:rPr>
          <w:rFonts w:hint="eastAsia" w:ascii="仿宋" w:hAnsi="仿宋" w:eastAsia="仿宋" w:cs="仿宋"/>
          <w:bCs/>
          <w:sz w:val="24"/>
        </w:rPr>
        <w:t>采购人</w:t>
      </w:r>
      <w:r>
        <w:rPr>
          <w:rFonts w:hint="eastAsia" w:ascii="仿宋" w:hAnsi="仿宋" w:eastAsia="仿宋" w:cs="仿宋"/>
          <w:bCs/>
          <w:sz w:val="24"/>
          <w:lang w:eastAsia="zh-Hans"/>
        </w:rPr>
        <w:t>报修通知后，1小时内响应，</w:t>
      </w:r>
      <w:r>
        <w:rPr>
          <w:rFonts w:hint="eastAsia" w:ascii="仿宋" w:hAnsi="仿宋" w:eastAsia="仿宋" w:cs="仿宋"/>
          <w:bCs/>
          <w:sz w:val="24"/>
        </w:rPr>
        <w:t>24</w:t>
      </w:r>
      <w:r>
        <w:rPr>
          <w:rFonts w:hint="eastAsia" w:ascii="仿宋" w:hAnsi="仿宋" w:eastAsia="仿宋" w:cs="仿宋"/>
          <w:bCs/>
          <w:sz w:val="24"/>
          <w:lang w:eastAsia="zh-Hans"/>
        </w:rPr>
        <w:t>时内派技术人员到达现场，并维修成功以恢复设备正常使用。</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若</w:t>
      </w:r>
      <w:r>
        <w:rPr>
          <w:rFonts w:hint="eastAsia" w:ascii="仿宋" w:hAnsi="仿宋" w:eastAsia="仿宋" w:cs="仿宋"/>
          <w:bCs/>
          <w:sz w:val="24"/>
        </w:rPr>
        <w:t>投标人24</w:t>
      </w:r>
      <w:r>
        <w:rPr>
          <w:rFonts w:hint="eastAsia" w:ascii="仿宋" w:hAnsi="仿宋" w:eastAsia="仿宋" w:cs="仿宋"/>
          <w:bCs/>
          <w:sz w:val="24"/>
          <w:lang w:eastAsia="zh-Hans"/>
        </w:rPr>
        <w:t>小时仍未修复设备至正常使用，</w:t>
      </w:r>
      <w:r>
        <w:rPr>
          <w:rFonts w:hint="eastAsia" w:ascii="仿宋" w:hAnsi="仿宋" w:eastAsia="仿宋" w:cs="仿宋"/>
          <w:bCs/>
          <w:sz w:val="24"/>
        </w:rPr>
        <w:t>投标人</w:t>
      </w:r>
      <w:r>
        <w:rPr>
          <w:rFonts w:hint="eastAsia" w:ascii="仿宋" w:hAnsi="仿宋" w:eastAsia="仿宋" w:cs="仿宋"/>
          <w:bCs/>
          <w:sz w:val="24"/>
          <w:lang w:eastAsia="zh-Hans"/>
        </w:rPr>
        <w:t>应提供同等或更高规格的备用机供</w:t>
      </w:r>
      <w:r>
        <w:rPr>
          <w:rFonts w:hint="eastAsia" w:ascii="仿宋" w:hAnsi="仿宋" w:eastAsia="仿宋" w:cs="仿宋"/>
          <w:bCs/>
          <w:sz w:val="24"/>
        </w:rPr>
        <w:t>采购人</w:t>
      </w:r>
      <w:r>
        <w:rPr>
          <w:rFonts w:hint="eastAsia" w:ascii="仿宋" w:hAnsi="仿宋" w:eastAsia="仿宋" w:cs="仿宋"/>
          <w:bCs/>
          <w:sz w:val="24"/>
          <w:lang w:eastAsia="zh-Hans"/>
        </w:rPr>
        <w:t>使用至设备恢复正常使用为止。如设备在1个月内无法修复，</w:t>
      </w:r>
      <w:r>
        <w:rPr>
          <w:rFonts w:hint="eastAsia" w:ascii="仿宋" w:hAnsi="仿宋" w:eastAsia="仿宋" w:cs="仿宋"/>
          <w:bCs/>
          <w:sz w:val="24"/>
        </w:rPr>
        <w:t>投标人</w:t>
      </w:r>
      <w:r>
        <w:rPr>
          <w:rFonts w:hint="eastAsia" w:ascii="仿宋" w:hAnsi="仿宋" w:eastAsia="仿宋" w:cs="仿宋"/>
          <w:bCs/>
          <w:sz w:val="24"/>
          <w:lang w:eastAsia="zh-Hans"/>
        </w:rPr>
        <w:t>负责更换全新同型号或性能更优型号的设备。</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（3）故障解决时限：</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lang w:eastAsia="zh-Hans"/>
        </w:rPr>
        <w:t>1）一般故障应在</w:t>
      </w:r>
      <w:r>
        <w:rPr>
          <w:rFonts w:hint="eastAsia" w:ascii="仿宋" w:hAnsi="仿宋" w:eastAsia="仿宋" w:cs="仿宋"/>
          <w:bCs/>
          <w:sz w:val="24"/>
        </w:rPr>
        <w:t>24</w:t>
      </w:r>
      <w:r>
        <w:rPr>
          <w:rFonts w:hint="eastAsia" w:ascii="仿宋" w:hAnsi="仿宋" w:eastAsia="仿宋" w:cs="仿宋"/>
          <w:bCs/>
          <w:sz w:val="24"/>
          <w:lang w:eastAsia="zh-Hans"/>
        </w:rPr>
        <w:t>小时内修复</w:t>
      </w:r>
      <w:r>
        <w:rPr>
          <w:rFonts w:hint="eastAsia" w:ascii="仿宋" w:hAnsi="仿宋" w:eastAsia="仿宋" w:cs="仿宋"/>
          <w:bCs/>
          <w:sz w:val="24"/>
        </w:rPr>
        <w:t>。</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lang w:eastAsia="zh-Hans"/>
        </w:rPr>
        <w:t>2）重大故障（影响设备主要功能或涉及安全）应在</w:t>
      </w:r>
      <w:r>
        <w:rPr>
          <w:rFonts w:hint="eastAsia" w:ascii="仿宋" w:hAnsi="仿宋" w:eastAsia="仿宋" w:cs="仿宋"/>
          <w:bCs/>
          <w:sz w:val="24"/>
        </w:rPr>
        <w:t>4</w:t>
      </w:r>
      <w:r>
        <w:rPr>
          <w:rFonts w:hint="eastAsia" w:ascii="仿宋" w:hAnsi="仿宋" w:eastAsia="仿宋" w:cs="仿宋"/>
          <w:bCs/>
          <w:sz w:val="24"/>
          <w:lang w:eastAsia="zh-Hans"/>
        </w:rPr>
        <w:t>小时内解决</w:t>
      </w:r>
      <w:r>
        <w:rPr>
          <w:rFonts w:hint="eastAsia" w:ascii="仿宋" w:hAnsi="仿宋" w:eastAsia="仿宋" w:cs="仿宋"/>
          <w:bCs/>
          <w:sz w:val="24"/>
        </w:rPr>
        <w:t>。</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3）若无法在规定时限内修复，</w:t>
      </w:r>
      <w:r>
        <w:rPr>
          <w:rFonts w:hint="eastAsia" w:ascii="仿宋" w:hAnsi="仿宋" w:eastAsia="仿宋" w:cs="仿宋"/>
          <w:bCs/>
          <w:sz w:val="24"/>
        </w:rPr>
        <w:t>投标人</w:t>
      </w:r>
      <w:r>
        <w:rPr>
          <w:rFonts w:hint="eastAsia" w:ascii="仿宋" w:hAnsi="仿宋" w:eastAsia="仿宋" w:cs="仿宋"/>
          <w:bCs/>
          <w:sz w:val="24"/>
          <w:lang w:eastAsia="zh-Hans"/>
        </w:rPr>
        <w:t>须提供备用设备或采取其他有效措施，确保</w:t>
      </w:r>
      <w:r>
        <w:rPr>
          <w:rFonts w:hint="eastAsia" w:ascii="仿宋" w:hAnsi="仿宋" w:eastAsia="仿宋" w:cs="仿宋"/>
          <w:bCs/>
          <w:sz w:val="24"/>
        </w:rPr>
        <w:t>采购人</w:t>
      </w:r>
      <w:r>
        <w:rPr>
          <w:rFonts w:hint="eastAsia" w:ascii="仿宋" w:hAnsi="仿宋" w:eastAsia="仿宋" w:cs="仿宋"/>
          <w:bCs/>
          <w:sz w:val="24"/>
          <w:lang w:eastAsia="zh-Hans"/>
        </w:rPr>
        <w:t>正常工作不受影响。</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3、具体的服务方式和要求：</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（1）</w:t>
      </w:r>
      <w:r>
        <w:rPr>
          <w:rFonts w:hint="eastAsia" w:ascii="仿宋" w:hAnsi="仿宋" w:eastAsia="仿宋" w:cs="仿宋"/>
          <w:bCs/>
          <w:sz w:val="24"/>
          <w:lang w:eastAsia="zh-Hans"/>
        </w:rPr>
        <w:t>电话支持：</w:t>
      </w:r>
      <w:r>
        <w:rPr>
          <w:rFonts w:hint="eastAsia" w:ascii="仿宋" w:hAnsi="仿宋" w:eastAsia="仿宋" w:cs="仿宋"/>
          <w:bCs/>
          <w:sz w:val="24"/>
        </w:rPr>
        <w:t>投标人</w:t>
      </w:r>
      <w:r>
        <w:rPr>
          <w:rFonts w:hint="eastAsia" w:ascii="仿宋" w:hAnsi="仿宋" w:eastAsia="仿宋" w:cs="仿宋"/>
          <w:bCs/>
          <w:sz w:val="24"/>
          <w:lang w:eastAsia="zh-Hans"/>
        </w:rPr>
        <w:t>提供电话支持服务且不限次数。</w:t>
      </w:r>
      <w:bookmarkStart w:id="1" w:name="OLE_LINK3"/>
      <w:r>
        <w:rPr>
          <w:rFonts w:hint="eastAsia" w:ascii="仿宋" w:hAnsi="仿宋" w:eastAsia="仿宋" w:cs="仿宋"/>
          <w:bCs/>
          <w:sz w:val="24"/>
          <w:lang w:eastAsia="zh-Hans"/>
        </w:rPr>
        <w:t>并提供服务联系人和联系方式。</w:t>
      </w:r>
      <w:bookmarkEnd w:id="1"/>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w:t>
      </w:r>
      <w:r>
        <w:rPr>
          <w:rFonts w:hint="eastAsia" w:ascii="仿宋" w:hAnsi="仿宋" w:eastAsia="仿宋" w:cs="仿宋"/>
          <w:bCs/>
          <w:sz w:val="24"/>
          <w:lang w:eastAsia="zh-Hans"/>
        </w:rPr>
        <w:t>远程支持：</w:t>
      </w:r>
      <w:r>
        <w:rPr>
          <w:rFonts w:hint="eastAsia" w:ascii="仿宋" w:hAnsi="仿宋" w:eastAsia="仿宋" w:cs="仿宋"/>
          <w:bCs/>
          <w:sz w:val="24"/>
        </w:rPr>
        <w:t>投标人</w:t>
      </w:r>
      <w:r>
        <w:rPr>
          <w:rFonts w:hint="eastAsia" w:ascii="仿宋" w:hAnsi="仿宋" w:eastAsia="仿宋" w:cs="仿宋"/>
          <w:bCs/>
          <w:sz w:val="24"/>
          <w:lang w:eastAsia="zh-Hans"/>
        </w:rPr>
        <w:t>提供邮件和远程拨入用户的系统，进行咨询、诊断和修复，且不限次数。</w:t>
      </w:r>
      <w:bookmarkStart w:id="2" w:name="OLE_LINK4"/>
      <w:r>
        <w:rPr>
          <w:rFonts w:hint="eastAsia" w:ascii="仿宋" w:hAnsi="仿宋" w:eastAsia="仿宋" w:cs="仿宋"/>
          <w:bCs/>
          <w:sz w:val="24"/>
        </w:rPr>
        <w:t>并提供</w:t>
      </w:r>
      <w:r>
        <w:rPr>
          <w:rFonts w:hint="eastAsia" w:ascii="仿宋" w:hAnsi="仿宋" w:eastAsia="仿宋" w:cs="仿宋"/>
          <w:bCs/>
          <w:sz w:val="24"/>
          <w:lang w:eastAsia="zh-Hans"/>
        </w:rPr>
        <w:t>邮箱地址。</w:t>
      </w:r>
      <w:bookmarkEnd w:id="2"/>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（3）</w:t>
      </w:r>
      <w:r>
        <w:rPr>
          <w:rFonts w:hint="eastAsia" w:ascii="仿宋" w:hAnsi="仿宋" w:eastAsia="仿宋" w:cs="仿宋"/>
          <w:bCs/>
          <w:sz w:val="24"/>
          <w:lang w:eastAsia="zh-Hans"/>
        </w:rPr>
        <w:t>现场故障处理：如果</w:t>
      </w:r>
      <w:r>
        <w:rPr>
          <w:rFonts w:hint="eastAsia" w:ascii="仿宋" w:hAnsi="仿宋" w:eastAsia="仿宋" w:cs="仿宋"/>
          <w:bCs/>
          <w:sz w:val="24"/>
        </w:rPr>
        <w:t>投标人</w:t>
      </w:r>
      <w:r>
        <w:rPr>
          <w:rFonts w:hint="eastAsia" w:ascii="仿宋" w:hAnsi="仿宋" w:eastAsia="仿宋" w:cs="仿宋"/>
          <w:bCs/>
          <w:sz w:val="24"/>
          <w:lang w:eastAsia="zh-Hans"/>
        </w:rPr>
        <w:t>不能通过电话服务或远程支持方式解决</w:t>
      </w:r>
      <w:r>
        <w:rPr>
          <w:rFonts w:hint="eastAsia" w:ascii="仿宋" w:hAnsi="仿宋" w:eastAsia="仿宋" w:cs="仿宋"/>
          <w:bCs/>
          <w:sz w:val="24"/>
        </w:rPr>
        <w:t>采购人</w:t>
      </w:r>
      <w:r>
        <w:rPr>
          <w:rFonts w:hint="eastAsia" w:ascii="仿宋" w:hAnsi="仿宋" w:eastAsia="仿宋" w:cs="仿宋"/>
          <w:bCs/>
          <w:sz w:val="24"/>
          <w:lang w:eastAsia="zh-Hans"/>
        </w:rPr>
        <w:t>问题，</w:t>
      </w:r>
      <w:r>
        <w:rPr>
          <w:rFonts w:hint="eastAsia" w:ascii="仿宋" w:hAnsi="仿宋" w:eastAsia="仿宋" w:cs="仿宋"/>
          <w:bCs/>
          <w:sz w:val="24"/>
        </w:rPr>
        <w:t>投标人</w:t>
      </w:r>
      <w:r>
        <w:rPr>
          <w:rFonts w:hint="eastAsia" w:ascii="仿宋" w:hAnsi="仿宋" w:eastAsia="仿宋" w:cs="仿宋"/>
          <w:bCs/>
          <w:sz w:val="24"/>
          <w:lang w:eastAsia="zh-Hans"/>
        </w:rPr>
        <w:t>到达现场并解决故障。</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（4）</w:t>
      </w:r>
      <w:r>
        <w:rPr>
          <w:rFonts w:hint="eastAsia" w:ascii="仿宋" w:hAnsi="仿宋" w:eastAsia="仿宋" w:cs="仿宋"/>
          <w:bCs/>
          <w:sz w:val="24"/>
          <w:lang w:eastAsia="zh-Hans"/>
        </w:rPr>
        <w:t>设备应在</w:t>
      </w:r>
      <w:r>
        <w:rPr>
          <w:rFonts w:hint="eastAsia" w:ascii="仿宋" w:hAnsi="仿宋" w:eastAsia="仿宋" w:cs="仿宋"/>
          <w:bCs/>
          <w:sz w:val="24"/>
        </w:rPr>
        <w:t>24</w:t>
      </w:r>
      <w:r>
        <w:rPr>
          <w:rFonts w:hint="eastAsia" w:ascii="仿宋" w:hAnsi="仿宋" w:eastAsia="仿宋" w:cs="仿宋"/>
          <w:bCs/>
          <w:sz w:val="24"/>
          <w:lang w:eastAsia="zh-Hans"/>
        </w:rPr>
        <w:t>小时内恢复正常，以保障关键业务的不间断运行。若需延长期限的，需在时限到期前向</w:t>
      </w:r>
      <w:r>
        <w:rPr>
          <w:rFonts w:hint="eastAsia" w:ascii="仿宋" w:hAnsi="仿宋" w:eastAsia="仿宋" w:cs="仿宋"/>
          <w:bCs/>
          <w:sz w:val="24"/>
        </w:rPr>
        <w:t>采购人</w:t>
      </w:r>
      <w:r>
        <w:rPr>
          <w:rFonts w:hint="eastAsia" w:ascii="仿宋" w:hAnsi="仿宋" w:eastAsia="仿宋" w:cs="仿宋"/>
          <w:bCs/>
          <w:sz w:val="24"/>
          <w:lang w:eastAsia="zh-Hans"/>
        </w:rPr>
        <w:t>提出书面延期申请，经</w:t>
      </w:r>
      <w:r>
        <w:rPr>
          <w:rFonts w:hint="eastAsia" w:ascii="仿宋" w:hAnsi="仿宋" w:eastAsia="仿宋" w:cs="仿宋"/>
          <w:bCs/>
          <w:sz w:val="24"/>
        </w:rPr>
        <w:t>采购人</w:t>
      </w:r>
      <w:r>
        <w:rPr>
          <w:rFonts w:hint="eastAsia" w:ascii="仿宋" w:hAnsi="仿宋" w:eastAsia="仿宋" w:cs="仿宋"/>
          <w:bCs/>
          <w:sz w:val="24"/>
          <w:lang w:eastAsia="zh-Hans"/>
        </w:rPr>
        <w:t>书面同意方可延期。</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（5）投标人</w:t>
      </w:r>
      <w:r>
        <w:rPr>
          <w:rFonts w:hint="eastAsia" w:ascii="仿宋" w:hAnsi="仿宋" w:eastAsia="仿宋" w:cs="仿宋"/>
          <w:bCs/>
          <w:sz w:val="24"/>
          <w:lang w:eastAsia="zh-Hans"/>
        </w:rPr>
        <w:t>每次巡检、维修、排障等服务后都应当提供服务报告。报告内容包括：设备状态、故障成因、维修细则和故障处理记录等。</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4</w:t>
      </w:r>
      <w:r>
        <w:rPr>
          <w:rFonts w:hint="eastAsia" w:ascii="仿宋" w:hAnsi="仿宋" w:eastAsia="仿宋" w:cs="仿宋"/>
          <w:bCs/>
          <w:sz w:val="24"/>
          <w:lang w:eastAsia="zh-Hans"/>
        </w:rPr>
        <w:t>、质保期内，因产品设计、制造缺陷或材料问题导致的任何故障，</w:t>
      </w:r>
      <w:r>
        <w:rPr>
          <w:rFonts w:hint="eastAsia" w:ascii="仿宋" w:hAnsi="仿宋" w:eastAsia="仿宋" w:cs="仿宋"/>
          <w:bCs/>
          <w:sz w:val="24"/>
        </w:rPr>
        <w:t>投标人</w:t>
      </w:r>
      <w:r>
        <w:rPr>
          <w:rFonts w:hint="eastAsia" w:ascii="仿宋" w:hAnsi="仿宋" w:eastAsia="仿宋" w:cs="仿宋"/>
          <w:bCs/>
          <w:sz w:val="24"/>
          <w:lang w:eastAsia="zh-Hans"/>
        </w:rPr>
        <w:t>应免费维修或更换，并承担由此产生的一切费用（包括但不限于运输费、人工费、上门费、更换零部件费用）。</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5</w:t>
      </w:r>
      <w:r>
        <w:rPr>
          <w:rFonts w:hint="eastAsia" w:ascii="仿宋" w:hAnsi="仿宋" w:eastAsia="仿宋" w:cs="仿宋"/>
          <w:bCs/>
          <w:sz w:val="24"/>
          <w:lang w:eastAsia="zh-Hans"/>
        </w:rPr>
        <w:t>、培训要求</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5</w:t>
      </w:r>
      <w:r>
        <w:rPr>
          <w:rFonts w:hint="eastAsia" w:ascii="仿宋" w:hAnsi="仿宋" w:eastAsia="仿宋" w:cs="仿宋"/>
          <w:bCs/>
          <w:sz w:val="24"/>
          <w:lang w:eastAsia="zh-Hans"/>
        </w:rPr>
        <w:t xml:space="preserve">.1 </w:t>
      </w:r>
      <w:r>
        <w:rPr>
          <w:rFonts w:hint="eastAsia" w:ascii="仿宋" w:hAnsi="仿宋" w:eastAsia="仿宋" w:cs="仿宋"/>
          <w:bCs/>
          <w:sz w:val="24"/>
        </w:rPr>
        <w:t>投标人</w:t>
      </w:r>
      <w:r>
        <w:rPr>
          <w:rFonts w:hint="eastAsia" w:ascii="仿宋" w:hAnsi="仿宋" w:eastAsia="仿宋" w:cs="仿宋"/>
          <w:bCs/>
          <w:sz w:val="24"/>
          <w:lang w:eastAsia="zh-Hans"/>
        </w:rPr>
        <w:t>须对</w:t>
      </w:r>
      <w:r>
        <w:rPr>
          <w:rFonts w:hint="eastAsia" w:ascii="仿宋" w:hAnsi="仿宋" w:eastAsia="仿宋" w:cs="仿宋"/>
          <w:bCs/>
          <w:sz w:val="24"/>
        </w:rPr>
        <w:t>采购人</w:t>
      </w:r>
      <w:r>
        <w:rPr>
          <w:rFonts w:hint="eastAsia" w:ascii="仿宋" w:hAnsi="仿宋" w:eastAsia="仿宋" w:cs="仿宋"/>
          <w:bCs/>
          <w:sz w:val="24"/>
          <w:lang w:eastAsia="zh-Hans"/>
        </w:rPr>
        <w:t>操作人员进行现场操作培训，内容包括但不限于：设备启动、正常运行操作、紧急停机、安全注意事项、常见故障识别等，确保操作人员能正确、安全地使用设备。</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5</w:t>
      </w:r>
      <w:r>
        <w:rPr>
          <w:rFonts w:hint="eastAsia" w:ascii="仿宋" w:hAnsi="仿宋" w:eastAsia="仿宋" w:cs="仿宋"/>
          <w:bCs/>
          <w:sz w:val="24"/>
          <w:lang w:eastAsia="zh-Hans"/>
        </w:rPr>
        <w:t xml:space="preserve">.2 </w:t>
      </w:r>
      <w:r>
        <w:rPr>
          <w:rFonts w:hint="eastAsia" w:ascii="仿宋" w:hAnsi="仿宋" w:eastAsia="仿宋" w:cs="仿宋"/>
          <w:bCs/>
          <w:sz w:val="24"/>
        </w:rPr>
        <w:t>投标人</w:t>
      </w:r>
      <w:r>
        <w:rPr>
          <w:rFonts w:hint="eastAsia" w:ascii="仿宋" w:hAnsi="仿宋" w:eastAsia="仿宋" w:cs="仿宋"/>
          <w:bCs/>
          <w:sz w:val="24"/>
          <w:lang w:eastAsia="zh-Hans"/>
        </w:rPr>
        <w:t>须对</w:t>
      </w:r>
      <w:r>
        <w:rPr>
          <w:rFonts w:hint="eastAsia" w:ascii="仿宋" w:hAnsi="仿宋" w:eastAsia="仿宋" w:cs="仿宋"/>
          <w:bCs/>
          <w:sz w:val="24"/>
        </w:rPr>
        <w:t>维护</w:t>
      </w:r>
      <w:r>
        <w:rPr>
          <w:rFonts w:hint="eastAsia" w:ascii="仿宋" w:hAnsi="仿宋" w:eastAsia="仿宋" w:cs="仿宋"/>
          <w:bCs/>
          <w:sz w:val="24"/>
          <w:lang w:eastAsia="zh-Hans"/>
        </w:rPr>
        <w:t>人员进行日常维护保养培训，内容包括但不限于：清洁、润滑、简单故障排除、易损件更换等。</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rPr>
        <w:t>5</w:t>
      </w:r>
      <w:r>
        <w:rPr>
          <w:rFonts w:hint="eastAsia" w:ascii="仿宋" w:hAnsi="仿宋" w:eastAsia="仿宋" w:cs="仿宋"/>
          <w:bCs/>
          <w:sz w:val="24"/>
          <w:lang w:eastAsia="zh-Hans"/>
        </w:rPr>
        <w:t>.3 培训完成后，</w:t>
      </w:r>
      <w:r>
        <w:rPr>
          <w:rFonts w:hint="eastAsia" w:ascii="仿宋" w:hAnsi="仿宋" w:eastAsia="仿宋" w:cs="仿宋"/>
          <w:bCs/>
          <w:sz w:val="24"/>
        </w:rPr>
        <w:t>投标人</w:t>
      </w:r>
      <w:r>
        <w:rPr>
          <w:rFonts w:hint="eastAsia" w:ascii="仿宋" w:hAnsi="仿宋" w:eastAsia="仿宋" w:cs="仿宋"/>
          <w:bCs/>
          <w:sz w:val="24"/>
          <w:lang w:eastAsia="zh-Hans"/>
        </w:rPr>
        <w:t>应提供完整的中文版技术资料（下述资料须提供纸质版2套和电子版1套），包括但不限于：</w:t>
      </w:r>
    </w:p>
    <w:p>
      <w:pPr>
        <w:snapToGrid w:val="0"/>
        <w:spacing w:line="360" w:lineRule="auto"/>
        <w:ind w:firstLine="480" w:firstLineChars="200"/>
        <w:rPr>
          <w:rFonts w:ascii="仿宋" w:hAnsi="仿宋" w:eastAsia="仿宋" w:cs="仿宋"/>
          <w:bCs/>
          <w:sz w:val="24"/>
          <w:lang w:eastAsia="zh-Hans"/>
        </w:rPr>
      </w:pPr>
      <w:r>
        <w:rPr>
          <w:rFonts w:hint="eastAsia" w:ascii="仿宋" w:hAnsi="仿宋" w:eastAsia="仿宋" w:cs="仿宋"/>
          <w:bCs/>
          <w:sz w:val="24"/>
          <w:lang w:eastAsia="zh-Hans"/>
        </w:rPr>
        <w:t>（1）操作手册；</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lang w:eastAsia="zh-Hans"/>
        </w:rPr>
        <w:t>（2）维护保养手册</w:t>
      </w:r>
      <w:r>
        <w:rPr>
          <w:rFonts w:hint="eastAsia" w:ascii="仿宋" w:hAnsi="仿宋" w:eastAsia="仿宋" w:cs="仿宋"/>
          <w:bCs/>
          <w:sz w:val="24"/>
        </w:rPr>
        <w:t>。</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6、验收前，投标人应将完整的资料（包括但不限于技术文档、相关图纸、设备说明书、操作手册等）提交给采购人存档管理。</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pPr>
        <w:spacing w:line="360" w:lineRule="auto"/>
        <w:ind w:firstLine="480" w:firstLineChars="200"/>
        <w:contextualSpacing/>
        <w:rPr>
          <w:rFonts w:ascii="仿宋" w:hAnsi="仿宋" w:eastAsia="仿宋" w:cs="仿宋"/>
          <w:bCs/>
          <w:sz w:val="24"/>
        </w:rPr>
      </w:pPr>
      <w:bookmarkStart w:id="3" w:name="OLE_LINK180"/>
      <w:r>
        <w:rPr>
          <w:rFonts w:hint="eastAsia" w:ascii="仿宋" w:hAnsi="仿宋" w:eastAsia="仿宋" w:cs="仿宋"/>
          <w:bCs/>
          <w:sz w:val="24"/>
        </w:rPr>
        <w:t>医院易燃易爆化学制剂等危险化学品需存放于专用存储区域，区域内配套配齐安全防护设施与危化品专用存储柜；通过落实双人双锁管控、布设环境智能监测系统等多重防控措施，对危化品存储区域实施标准化、规范化严格管理，确保完全符合北京市危险化学品管理相关法律法规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项目建设总目标依据政策法规及行业规范标准，满足医院开办最基础的安全管理条件下，提升安全隐患事件的预知预判、快速响应和高效处置，降低治安案件、安全事故等事件的发生概率，提升医院的整体安全水平，形成系统、科学、高效、智慧的医院安全防范体系。</w:t>
      </w:r>
    </w:p>
    <w:bookmarkEnd w:id="3"/>
    <w:p>
      <w:pPr>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pPr>
        <w:spacing w:line="360" w:lineRule="auto"/>
        <w:ind w:firstLine="480" w:firstLineChars="200"/>
        <w:rPr>
          <w:rFonts w:ascii="仿宋" w:hAnsi="仿宋" w:eastAsia="仿宋" w:cs="仿宋"/>
          <w:bCs/>
          <w:sz w:val="24"/>
        </w:rPr>
      </w:pPr>
      <w:bookmarkStart w:id="4" w:name="OLE_LINK106"/>
      <w:r>
        <w:rPr>
          <w:rFonts w:hint="eastAsia" w:ascii="仿宋" w:hAnsi="仿宋" w:eastAsia="仿宋" w:cs="仿宋"/>
          <w:bCs/>
          <w:sz w:val="24"/>
        </w:rPr>
        <w:t>2.1、所有设备的设计、制造、检验、包装、运输、安装及验收均须需满足国家、北京市及采购人各项最新标准及规范要求。注：以上均按最新标准执行。</w:t>
      </w:r>
    </w:p>
    <w:bookmarkEnd w:id="4"/>
    <w:p>
      <w:pPr>
        <w:spacing w:line="360" w:lineRule="auto"/>
        <w:ind w:firstLine="480" w:firstLineChars="200"/>
        <w:rPr>
          <w:rFonts w:ascii="仿宋" w:hAnsi="仿宋" w:eastAsia="仿宋" w:cs="仿宋"/>
          <w:bCs/>
          <w:sz w:val="24"/>
        </w:rPr>
      </w:pPr>
      <w:r>
        <w:rPr>
          <w:rFonts w:hint="eastAsia" w:ascii="仿宋" w:hAnsi="仿宋" w:eastAsia="仿宋" w:cs="仿宋"/>
          <w:bCs/>
          <w:sz w:val="24"/>
        </w:rPr>
        <w:t>2.2、如采购内容涉及节能产品政府采购品目清单中标注★的政府强制采购产品，需按市场监管总局关于发布参与实施政府采购节能产品、环境标志产品认证机构名录的公告（2019年第16号）等政策要求在投标文件中提供对应产品的证明材料。</w:t>
      </w:r>
    </w:p>
    <w:p>
      <w:pPr>
        <w:pStyle w:val="2"/>
        <w:spacing w:line="360" w:lineRule="auto"/>
        <w:rPr>
          <w:rFonts w:ascii="仿宋" w:hAnsi="仿宋" w:eastAsia="仿宋" w:cs="仿宋"/>
          <w:bCs/>
          <w:color w:val="FF0000"/>
        </w:rPr>
      </w:pPr>
      <w:r>
        <w:rPr>
          <w:rFonts w:hint="eastAsia" w:ascii="仿宋" w:hAnsi="仿宋" w:eastAsia="仿宋" w:cs="仿宋"/>
          <w:bCs/>
          <w:color w:val="FF0000"/>
        </w:rPr>
        <w:t>2.3、危险化学品存储硬件条件满足易制爆危险化学品储存场所相关要求、《北京市危险化学品使用单位储存设施安全评价工作指引（试行）要求》。保障整体系统接入监管平台并取得易制爆危险化学品储存场所治安防范评价验收报告及危险化学品安全现状评估报告。易制毒、危废满足相关行业标准。</w:t>
      </w:r>
    </w:p>
    <w:p>
      <w:pPr>
        <w:pStyle w:val="2"/>
        <w:spacing w:line="360" w:lineRule="auto"/>
        <w:rPr>
          <w:rFonts w:ascii="仿宋" w:hAnsi="仿宋" w:eastAsia="仿宋" w:cs="仿宋"/>
          <w:bCs/>
          <w:color w:val="FF0000"/>
        </w:rPr>
      </w:pPr>
      <w:r>
        <w:rPr>
          <w:rFonts w:hint="eastAsia" w:ascii="仿宋" w:hAnsi="仿宋" w:eastAsia="仿宋" w:cs="仿宋"/>
          <w:bCs/>
          <w:color w:val="FF0000"/>
        </w:rPr>
        <w:t>2.4、危化品防护服</w:t>
      </w:r>
      <w:r>
        <w:rPr>
          <w:rFonts w:hint="eastAsia" w:ascii="仿宋" w:hAnsi="仿宋" w:eastAsia="仿宋"/>
        </w:rPr>
        <w:t>满足国家相关标准。</w:t>
      </w: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pPr>
        <w:pStyle w:val="2"/>
        <w:spacing w:line="360" w:lineRule="auto"/>
        <w:contextualSpacing/>
        <w:jc w:val="center"/>
        <w:rPr>
          <w:rFonts w:ascii="仿宋" w:hAnsi="仿宋" w:eastAsia="仿宋" w:cs="仿宋"/>
          <w:b/>
          <w:bCs/>
        </w:rPr>
      </w:pPr>
      <w:r>
        <w:rPr>
          <w:rFonts w:hint="eastAsia" w:ascii="仿宋" w:hAnsi="仿宋" w:eastAsia="仿宋" w:cs="仿宋"/>
          <w:b/>
          <w:bCs/>
        </w:rPr>
        <w:t>第3包 危化品安全装备</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7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pPr>
              <w:pStyle w:val="21"/>
              <w:spacing w:line="276" w:lineRule="auto"/>
              <w:ind w:firstLine="422"/>
              <w:contextualSpacing/>
              <w:jc w:val="center"/>
              <w:rPr>
                <w:rFonts w:ascii="Arial" w:hAnsi="Arial" w:eastAsia="仿宋" w:cs="Arial"/>
                <w:bCs/>
                <w:szCs w:val="21"/>
              </w:rPr>
            </w:pPr>
            <w:r>
              <w:rPr>
                <w:rFonts w:hint="eastAsia" w:ascii="Arial" w:hAnsi="Arial" w:eastAsia="仿宋" w:cs="Arial"/>
                <w:b/>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危化品智能储存柜</w:t>
            </w:r>
          </w:p>
        </w:tc>
        <w:tc>
          <w:tcPr>
            <w:tcW w:w="4193" w:type="pct"/>
            <w:vAlign w:val="center"/>
          </w:tcPr>
          <w:p>
            <w:pPr>
              <w:spacing w:line="276" w:lineRule="auto"/>
              <w:contextualSpacing/>
              <w:jc w:val="left"/>
              <w:rPr>
                <w:rFonts w:ascii="仿宋" w:hAnsi="仿宋" w:eastAsia="仿宋"/>
              </w:rPr>
            </w:pPr>
            <w:r>
              <w:rPr>
                <w:rFonts w:hint="eastAsia" w:ascii="仿宋" w:hAnsi="仿宋" w:eastAsia="仿宋"/>
              </w:rPr>
              <w:t>1.尺寸规格：</w:t>
            </w:r>
            <w:r>
              <w:rPr>
                <w:rFonts w:hint="eastAsia" w:ascii="宋体" w:hAnsi="宋体" w:cs="宋体"/>
              </w:rPr>
              <w:t>≥</w:t>
            </w:r>
            <w:r>
              <w:rPr>
                <w:rFonts w:hint="eastAsia" w:ascii="仿宋" w:hAnsi="仿宋" w:eastAsia="仿宋"/>
              </w:rPr>
              <w:t>1980×900×510mm。</w:t>
            </w:r>
          </w:p>
          <w:p>
            <w:pPr>
              <w:spacing w:line="276" w:lineRule="auto"/>
              <w:contextualSpacing/>
              <w:jc w:val="left"/>
              <w:rPr>
                <w:rFonts w:ascii="仿宋" w:hAnsi="仿宋" w:eastAsia="仿宋"/>
              </w:rPr>
            </w:pPr>
            <w:r>
              <w:rPr>
                <w:rFonts w:hint="eastAsia" w:ascii="仿宋" w:hAnsi="仿宋" w:eastAsia="仿宋"/>
              </w:rPr>
              <w:t>2.存储柜结构：双开门。</w:t>
            </w:r>
          </w:p>
          <w:p>
            <w:pPr>
              <w:spacing w:line="276" w:lineRule="auto"/>
              <w:contextualSpacing/>
              <w:jc w:val="left"/>
              <w:rPr>
                <w:rFonts w:ascii="仿宋" w:hAnsi="仿宋" w:eastAsia="仿宋"/>
              </w:rPr>
            </w:pPr>
            <w:r>
              <w:rPr>
                <w:rFonts w:hint="eastAsia" w:ascii="仿宋" w:hAnsi="仿宋" w:eastAsia="仿宋"/>
              </w:rPr>
              <w:t>▲3.存储柜材质：壳体全部采用厚度≥1.0mm冷轧钢板，柜体底座采用≥2.0mm一级冷轧钢板；柜体经中性盐雾连续喷雾240h后，防盐雾腐蚀保护等级不低于10级,外观评级不低于A级。</w:t>
            </w:r>
            <w:r>
              <w:rPr>
                <w:rFonts w:hint="eastAsia" w:ascii="仿宋" w:hAnsi="仿宋" w:eastAsia="仿宋"/>
              </w:rPr>
              <w:br w:type="textWrapping"/>
            </w:r>
            <w:r>
              <w:rPr>
                <w:rFonts w:hint="eastAsia" w:ascii="仿宋" w:hAnsi="仿宋" w:eastAsia="仿宋"/>
              </w:rPr>
              <w:t>4.柜体内胆：上、下、左、右内衬板全部采用瓷白聚丙烯树脂板；所使用的PP板材具有阻燃功能，其PP板阻燃级别达到V-0等级。</w:t>
            </w:r>
          </w:p>
          <w:p>
            <w:pPr>
              <w:spacing w:line="276" w:lineRule="auto"/>
              <w:contextualSpacing/>
              <w:jc w:val="left"/>
              <w:rPr>
                <w:rFonts w:ascii="仿宋" w:hAnsi="仿宋" w:eastAsia="仿宋"/>
              </w:rPr>
            </w:pPr>
            <w:r>
              <w:rPr>
                <w:rFonts w:hint="eastAsia" w:ascii="仿宋" w:hAnsi="仿宋" w:eastAsia="仿宋"/>
              </w:rPr>
              <w:t>5.配备三块平层式非焊接一体成型PP聚丙烯注塑层板，平层板承重≥50kg。</w:t>
            </w:r>
          </w:p>
          <w:p>
            <w:pPr>
              <w:spacing w:line="276" w:lineRule="auto"/>
              <w:contextualSpacing/>
              <w:jc w:val="left"/>
              <w:rPr>
                <w:rFonts w:ascii="仿宋" w:hAnsi="仿宋" w:eastAsia="仿宋"/>
              </w:rPr>
            </w:pPr>
            <w:r>
              <w:rPr>
                <w:rFonts w:hint="eastAsia" w:ascii="仿宋" w:hAnsi="仿宋" w:eastAsia="仿宋"/>
              </w:rPr>
              <w:t>6.储存柜应进行盐雾试验检测，防盐雾腐蚀保护等级不低于10级。</w:t>
            </w:r>
          </w:p>
          <w:p>
            <w:pPr>
              <w:spacing w:line="276" w:lineRule="auto"/>
              <w:contextualSpacing/>
              <w:jc w:val="left"/>
              <w:rPr>
                <w:rFonts w:ascii="仿宋" w:hAnsi="仿宋" w:eastAsia="仿宋"/>
              </w:rPr>
            </w:pPr>
            <w:r>
              <w:rPr>
                <w:rFonts w:hint="eastAsia" w:ascii="仿宋" w:hAnsi="仿宋" w:eastAsia="仿宋"/>
              </w:rPr>
              <w:t>7.设备配备≥7寸液晶显示屏。</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8.锁具：配备两把B级机械钥匙锁，锁具符合GA/T73标准，实现双人双锁管理。</w:t>
            </w:r>
            <w:r>
              <w:rPr>
                <w:rFonts w:ascii="仿宋" w:hAnsi="仿宋" w:eastAsia="仿宋"/>
              </w:rPr>
              <w:t>（</w:t>
            </w:r>
            <w:r>
              <w:rPr>
                <w:rFonts w:hint="eastAsia" w:ascii="仿宋" w:hAnsi="仿宋" w:eastAsia="仿宋"/>
              </w:rPr>
              <w:t>投标文件须提供第三方</w:t>
            </w:r>
            <w:r>
              <w:rPr>
                <w:rFonts w:ascii="仿宋" w:hAnsi="仿宋" w:eastAsia="仿宋"/>
              </w:rPr>
              <w:t>检测机构出具锁具检测报告）</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9.控制系统：具备温湿度变送器和VOC报警器。</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10.网络功能：具备RS485、GPRS或Wi-Fi网络连接功能。</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11.整柜具备抗爆功能。整柜为抗爆结构，柜体采用≥1.0mm厚冷轧钢板，底座采用≥2.0mm厚冷轧钢板。</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12.产品中有害物质检测释放限量须参照GB18584-2024《家具中有害物质限量》国家标准的强制性要求进行检测。</w:t>
            </w:r>
          </w:p>
          <w:p>
            <w:pPr>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13.配有MSDS查询码，可实时查询≥2828危险化学品名录。</w:t>
            </w:r>
          </w:p>
          <w:p>
            <w:pPr>
              <w:spacing w:line="276" w:lineRule="auto"/>
              <w:contextualSpacing/>
              <w:jc w:val="left"/>
            </w:pPr>
            <w:bookmarkStart w:id="5" w:name="OLE_LINK5"/>
            <w:r>
              <w:rPr>
                <w:rFonts w:hint="eastAsia" w:ascii="仿宋" w:hAnsi="仿宋" w:eastAsia="仿宋"/>
                <w:b/>
                <w:bCs/>
              </w:rPr>
              <w:t>以上技术要求带▲号的</w:t>
            </w:r>
            <w:r>
              <w:rPr>
                <w:rFonts w:hint="eastAsia" w:ascii="宋体" w:hAnsi="宋体" w:cs="宋体"/>
                <w:b/>
                <w:bCs/>
                <w:kern w:val="0"/>
                <w:szCs w:val="21"/>
              </w:rPr>
              <w:t>，</w:t>
            </w:r>
            <w:r>
              <w:rPr>
                <w:rFonts w:hint="eastAsia" w:ascii="仿宋" w:hAnsi="仿宋" w:eastAsia="仿宋"/>
                <w:b/>
                <w:bCs/>
              </w:rPr>
              <w:t>投标人需提供具有CMA认证标志的第三方检测机构出具的检测报告复印件加盖投标人公章。</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危化品智能组合柜</w:t>
            </w:r>
          </w:p>
        </w:tc>
        <w:tc>
          <w:tcPr>
            <w:tcW w:w="4193" w:type="pct"/>
            <w:vAlign w:val="center"/>
          </w:tcPr>
          <w:p>
            <w:pPr>
              <w:spacing w:line="276" w:lineRule="auto"/>
              <w:contextualSpacing/>
              <w:jc w:val="left"/>
              <w:rPr>
                <w:rFonts w:ascii="仿宋" w:hAnsi="仿宋" w:eastAsia="仿宋" w:cs="仿宋"/>
                <w:szCs w:val="21"/>
              </w:rPr>
            </w:pPr>
            <w:r>
              <w:rPr>
                <w:rFonts w:hint="eastAsia" w:ascii="仿宋" w:hAnsi="仿宋" w:eastAsia="仿宋" w:cs="仿宋"/>
                <w:szCs w:val="21"/>
              </w:rPr>
              <w:t>1.尺寸规格：≥H2160×W1250×D530mm。</w:t>
            </w:r>
          </w:p>
          <w:p>
            <w:pPr>
              <w:spacing w:line="276" w:lineRule="auto"/>
              <w:contextualSpacing/>
              <w:jc w:val="left"/>
              <w:rPr>
                <w:rFonts w:ascii="仿宋" w:hAnsi="仿宋" w:eastAsia="仿宋" w:cs="仿宋"/>
                <w:szCs w:val="21"/>
              </w:rPr>
            </w:pPr>
            <w:r>
              <w:rPr>
                <w:rFonts w:hint="eastAsia" w:ascii="仿宋" w:hAnsi="仿宋" w:eastAsia="仿宋" w:cs="仿宋"/>
                <w:szCs w:val="21"/>
              </w:rPr>
              <w:t>▲2.存储柜材质:壳体全部采用厚度≥1.0mm冷轧钢板，柜体底座采用≥2.0mm一级冷轧钢板；柜体经中性盐雾连续喷雾240h后，防盐雾腐蚀保护等级不低于10级,外观评级不低于A级。</w:t>
            </w:r>
            <w:r>
              <w:rPr>
                <w:rFonts w:hint="eastAsia" w:ascii="仿宋" w:hAnsi="仿宋" w:eastAsia="仿宋" w:cs="仿宋"/>
                <w:szCs w:val="21"/>
              </w:rPr>
              <w:br w:type="textWrapping"/>
            </w:r>
            <w:r>
              <w:rPr>
                <w:rFonts w:hint="eastAsia" w:ascii="仿宋" w:hAnsi="仿宋" w:eastAsia="仿宋" w:cs="仿宋"/>
                <w:szCs w:val="21"/>
              </w:rPr>
              <w:t>3.组合式危化品防火柜设置多个独立储存单元，其中有二层为外钢内PP材质，每个储存单元内部气流组织须设计合理。</w:t>
            </w:r>
          </w:p>
          <w:p>
            <w:pPr>
              <w:spacing w:line="276" w:lineRule="auto"/>
              <w:contextualSpacing/>
              <w:jc w:val="left"/>
              <w:rPr>
                <w:rFonts w:ascii="仿宋" w:hAnsi="仿宋" w:eastAsia="仿宋" w:cs="仿宋"/>
                <w:szCs w:val="21"/>
              </w:rPr>
            </w:pPr>
            <w:r>
              <w:rPr>
                <w:rFonts w:hint="eastAsia" w:ascii="仿宋" w:hAnsi="仿宋" w:eastAsia="仿宋" w:cs="仿宋"/>
                <w:szCs w:val="21"/>
              </w:rPr>
              <w:t>▲4.每个独立空间均配备两把B级机械钥匙锁，锁具符合GA/T73标准，实现双人双锁管理。（投标文件须提供第三方机构出具锁具检测报告）</w:t>
            </w:r>
          </w:p>
          <w:p>
            <w:pPr>
              <w:spacing w:line="276" w:lineRule="auto"/>
              <w:contextualSpacing/>
              <w:jc w:val="left"/>
              <w:rPr>
                <w:rFonts w:ascii="仿宋" w:hAnsi="仿宋" w:eastAsia="仿宋" w:cs="仿宋"/>
                <w:szCs w:val="21"/>
              </w:rPr>
            </w:pPr>
            <w:r>
              <w:rPr>
                <w:rFonts w:hint="eastAsia" w:ascii="仿宋" w:hAnsi="仿宋" w:eastAsia="仿宋" w:cs="仿宋"/>
                <w:szCs w:val="21"/>
              </w:rPr>
              <w:t>▲5.投标人需提供同类型组合式危化品安全柜（单台产品不少于4个门，每个门对应1个独立储存单元）防火性能检测报告。</w:t>
            </w:r>
          </w:p>
          <w:p>
            <w:pPr>
              <w:spacing w:line="276" w:lineRule="auto"/>
              <w:contextualSpacing/>
              <w:jc w:val="left"/>
              <w:rPr>
                <w:rFonts w:ascii="仿宋" w:hAnsi="仿宋" w:eastAsia="仿宋" w:cs="仿宋"/>
                <w:szCs w:val="21"/>
              </w:rPr>
            </w:pPr>
            <w:r>
              <w:rPr>
                <w:rFonts w:hint="eastAsia" w:ascii="仿宋" w:hAnsi="仿宋" w:eastAsia="仿宋" w:cs="仿宋"/>
                <w:szCs w:val="21"/>
              </w:rPr>
              <w:t>6.环境数据检测：产品控制系统可连接温湿度传感器和TVOC传感器。</w:t>
            </w:r>
          </w:p>
          <w:p>
            <w:pPr>
              <w:spacing w:line="276" w:lineRule="auto"/>
              <w:contextualSpacing/>
              <w:jc w:val="left"/>
              <w:rPr>
                <w:rFonts w:ascii="仿宋" w:hAnsi="仿宋" w:eastAsia="仿宋" w:cs="仿宋"/>
                <w:szCs w:val="21"/>
              </w:rPr>
            </w:pPr>
            <w:r>
              <w:rPr>
                <w:rFonts w:hint="eastAsia" w:ascii="仿宋" w:hAnsi="仿宋" w:eastAsia="仿宋" w:cs="仿宋"/>
                <w:szCs w:val="21"/>
              </w:rPr>
              <w:t>7.告警：传感器检测到环境数据异常，可以触发告警。</w:t>
            </w:r>
          </w:p>
          <w:p>
            <w:pPr>
              <w:spacing w:line="276" w:lineRule="auto"/>
              <w:contextualSpacing/>
              <w:jc w:val="left"/>
              <w:rPr>
                <w:rFonts w:ascii="仿宋" w:hAnsi="仿宋" w:eastAsia="仿宋" w:cs="仿宋"/>
                <w:szCs w:val="21"/>
              </w:rPr>
            </w:pPr>
            <w:r>
              <w:rPr>
                <w:rFonts w:hint="eastAsia" w:ascii="仿宋" w:hAnsi="仿宋" w:eastAsia="仿宋" w:cs="仿宋"/>
                <w:szCs w:val="21"/>
              </w:rPr>
              <w:t>▲8.柜体顶部配有离心风机和组合式活性炭吸附装置，有效防止危险化学品挥发物聚集。</w:t>
            </w:r>
          </w:p>
          <w:p>
            <w:pPr>
              <w:spacing w:line="276" w:lineRule="auto"/>
              <w:contextualSpacing/>
              <w:jc w:val="left"/>
              <w:rPr>
                <w:rFonts w:ascii="仿宋" w:hAnsi="仿宋" w:eastAsia="仿宋"/>
              </w:rPr>
            </w:pPr>
            <w:r>
              <w:rPr>
                <w:rFonts w:hint="eastAsia" w:ascii="仿宋" w:hAnsi="仿宋" w:eastAsia="仿宋" w:cs="仿宋"/>
                <w:b/>
                <w:bCs/>
                <w:szCs w:val="21"/>
              </w:rPr>
              <w:t>以上技术要求带▲号的，投标人需提供具有CMA认证标志的第三方检测机构出具的检测报告复印件加盖投标人公章。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危化品应急处置设备</w:t>
            </w:r>
          </w:p>
        </w:tc>
        <w:tc>
          <w:tcPr>
            <w:tcW w:w="4193" w:type="pct"/>
            <w:vAlign w:val="center"/>
          </w:tcPr>
          <w:p>
            <w:pPr>
              <w:adjustRightInd w:val="0"/>
              <w:spacing w:line="276" w:lineRule="auto"/>
              <w:contextualSpacing/>
              <w:jc w:val="left"/>
              <w:rPr>
                <w:rFonts w:ascii="仿宋" w:hAnsi="仿宋" w:eastAsia="仿宋" w:cs="仿宋"/>
                <w:szCs w:val="21"/>
              </w:rPr>
            </w:pPr>
            <w:r>
              <w:rPr>
                <w:rFonts w:hint="eastAsia" w:ascii="仿宋" w:hAnsi="仿宋" w:eastAsia="仿宋" w:cs="仿宋"/>
                <w:szCs w:val="21"/>
              </w:rPr>
              <w:t>1.柜体尺寸:≥H1800×W900×D450mm。</w:t>
            </w:r>
            <w:r>
              <w:rPr>
                <w:rFonts w:hint="eastAsia" w:ascii="仿宋" w:hAnsi="仿宋" w:eastAsia="仿宋" w:cs="仿宋"/>
                <w:szCs w:val="21"/>
              </w:rPr>
              <w:br w:type="textWrapping"/>
            </w:r>
            <w:r>
              <w:rPr>
                <w:rFonts w:hint="eastAsia" w:ascii="仿宋" w:hAnsi="仿宋" w:eastAsia="仿宋" w:cs="仿宋"/>
                <w:szCs w:val="21"/>
              </w:rPr>
              <w:t>2.壳体全部采用≥1.0MM 的冷轧钢板, 内外表面经酸洗磷化环氧树脂粉末喷涂，烘热固化处理。</w:t>
            </w:r>
          </w:p>
          <w:p>
            <w:pPr>
              <w:adjustRightInd w:val="0"/>
              <w:spacing w:line="276" w:lineRule="auto"/>
              <w:contextualSpacing/>
              <w:jc w:val="left"/>
              <w:rPr>
                <w:rFonts w:ascii="仿宋" w:hAnsi="仿宋" w:eastAsia="仿宋" w:cs="仿宋"/>
                <w:szCs w:val="21"/>
              </w:rPr>
            </w:pPr>
            <w:r>
              <w:rPr>
                <w:rFonts w:hint="eastAsia" w:ascii="仿宋" w:hAnsi="仿宋" w:eastAsia="仿宋" w:cs="仿宋"/>
                <w:szCs w:val="21"/>
              </w:rPr>
              <w:t>3.颜色：黄色（环氧树脂喷涂）。</w:t>
            </w:r>
          </w:p>
          <w:p>
            <w:pPr>
              <w:spacing w:line="276" w:lineRule="auto"/>
              <w:contextualSpacing/>
              <w:jc w:val="left"/>
              <w:rPr>
                <w:rFonts w:ascii="仿宋" w:hAnsi="仿宋" w:eastAsia="仿宋"/>
              </w:rPr>
            </w:pPr>
            <w:r>
              <w:rPr>
                <w:rFonts w:hint="eastAsia" w:ascii="仿宋" w:hAnsi="仿宋" w:eastAsia="仿宋" w:cs="仿宋"/>
                <w:szCs w:val="21"/>
              </w:rPr>
              <w:t xml:space="preserve">4.层板：≥3块可移动层板；                                                                                                                                                                                                       5.配套物资;防化服（数量2套）；呼吸防护防毒面具（数量2套）； 吸附棉片（数量10片）；吸附棉条（数量2条）；手套（数量2副）；灭火毯（数量2个）。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环境检测终端</w:t>
            </w:r>
          </w:p>
        </w:tc>
        <w:tc>
          <w:tcPr>
            <w:tcW w:w="4193" w:type="pct"/>
            <w:vAlign w:val="center"/>
          </w:tcPr>
          <w:p>
            <w:pPr>
              <w:spacing w:line="276" w:lineRule="auto"/>
              <w:contextualSpacing/>
              <w:jc w:val="left"/>
              <w:rPr>
                <w:rFonts w:ascii="仿宋" w:hAnsi="仿宋" w:eastAsia="仿宋"/>
              </w:rPr>
            </w:pPr>
            <w:r>
              <w:rPr>
                <w:rFonts w:hint="eastAsia" w:ascii="仿宋" w:hAnsi="仿宋" w:eastAsia="仿宋"/>
              </w:rPr>
              <w:t>技术要求：环境检测终端，探测器超过设定值，自动报警并启动排风，带有物联网可视化系统，可远程操控。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防爆电器</w:t>
            </w:r>
          </w:p>
        </w:tc>
        <w:tc>
          <w:tcPr>
            <w:tcW w:w="4193" w:type="pct"/>
            <w:vAlign w:val="center"/>
          </w:tcPr>
          <w:p>
            <w:pPr>
              <w:spacing w:line="276" w:lineRule="auto"/>
              <w:contextualSpacing/>
              <w:jc w:val="left"/>
              <w:rPr>
                <w:rFonts w:ascii="仿宋" w:hAnsi="仿宋" w:eastAsia="仿宋"/>
              </w:rPr>
            </w:pPr>
            <w:r>
              <w:rPr>
                <w:rFonts w:hint="eastAsia" w:ascii="仿宋" w:hAnsi="仿宋" w:eastAsia="仿宋"/>
              </w:rPr>
              <w:t>防爆灯（6盏）：</w:t>
            </w:r>
          </w:p>
          <w:p>
            <w:pPr>
              <w:spacing w:line="276" w:lineRule="auto"/>
              <w:contextualSpacing/>
              <w:jc w:val="left"/>
              <w:rPr>
                <w:rFonts w:ascii="仿宋" w:hAnsi="仿宋" w:eastAsia="仿宋"/>
              </w:rPr>
            </w:pPr>
            <w:r>
              <w:rPr>
                <w:rFonts w:hint="eastAsia" w:ascii="仿宋" w:hAnsi="仿宋" w:eastAsia="仿宋"/>
              </w:rPr>
              <w:t>1.额定电压：AC220V。</w:t>
            </w:r>
            <w:r>
              <w:rPr>
                <w:rFonts w:hint="eastAsia" w:ascii="仿宋" w:hAnsi="仿宋" w:eastAsia="仿宋"/>
              </w:rPr>
              <w:br w:type="textWrapping"/>
            </w:r>
            <w:r>
              <w:rPr>
                <w:rFonts w:hint="eastAsia" w:ascii="仿宋" w:hAnsi="仿宋" w:eastAsia="仿宋"/>
              </w:rPr>
              <w:t>2.规格：单管防爆灯。</w:t>
            </w:r>
            <w:r>
              <w:rPr>
                <w:rFonts w:hint="eastAsia" w:ascii="仿宋" w:hAnsi="仿宋" w:eastAsia="仿宋"/>
              </w:rPr>
              <w:br w:type="textWrapping"/>
            </w:r>
            <w:r>
              <w:rPr>
                <w:rFonts w:hint="eastAsia" w:ascii="仿宋" w:hAnsi="仿宋" w:eastAsia="仿宋"/>
              </w:rPr>
              <w:t>3.功率：≥40W(LED光源)。</w:t>
            </w:r>
          </w:p>
          <w:p>
            <w:pPr>
              <w:spacing w:line="276" w:lineRule="auto"/>
              <w:contextualSpacing/>
              <w:jc w:val="left"/>
              <w:rPr>
                <w:rFonts w:ascii="仿宋" w:hAnsi="仿宋" w:eastAsia="仿宋"/>
              </w:rPr>
            </w:pPr>
            <w:r>
              <w:rPr>
                <w:rFonts w:hint="eastAsia" w:ascii="仿宋" w:hAnsi="仿宋" w:eastAsia="仿宋"/>
              </w:rPr>
              <w:t>4.外壳防护等级：≥IP66。</w:t>
            </w:r>
          </w:p>
          <w:p>
            <w:pPr>
              <w:pStyle w:val="2"/>
            </w:pPr>
          </w:p>
          <w:p>
            <w:pPr>
              <w:spacing w:line="276" w:lineRule="auto"/>
              <w:contextualSpacing/>
              <w:jc w:val="left"/>
              <w:rPr>
                <w:rFonts w:ascii="仿宋" w:hAnsi="仿宋" w:eastAsia="仿宋"/>
              </w:rPr>
            </w:pPr>
            <w:r>
              <w:rPr>
                <w:rFonts w:hint="eastAsia" w:ascii="仿宋" w:hAnsi="仿宋" w:eastAsia="仿宋"/>
              </w:rPr>
              <w:t>防爆开关（3个）：</w:t>
            </w:r>
          </w:p>
          <w:p>
            <w:pPr>
              <w:tabs>
                <w:tab w:val="left" w:pos="312"/>
              </w:tabs>
              <w:spacing w:line="276" w:lineRule="auto"/>
              <w:contextualSpacing/>
              <w:jc w:val="left"/>
            </w:pPr>
            <w:r>
              <w:rPr>
                <w:rFonts w:hint="eastAsia" w:ascii="仿宋" w:hAnsi="仿宋" w:eastAsia="仿宋"/>
              </w:rPr>
              <w:t>1.额定电压：AC220V。</w:t>
            </w:r>
            <w:r>
              <w:rPr>
                <w:rFonts w:hint="eastAsia" w:ascii="仿宋" w:hAnsi="仿宋" w:eastAsia="仿宋"/>
              </w:rPr>
              <w:br w:type="textWrapping"/>
            </w:r>
            <w:r>
              <w:rPr>
                <w:rFonts w:hint="eastAsia" w:ascii="仿宋" w:hAnsi="仿宋" w:eastAsia="仿宋"/>
              </w:rPr>
              <w:t>2.规格：单开。</w:t>
            </w:r>
            <w:r>
              <w:rPr>
                <w:rFonts w:hint="eastAsia" w:ascii="仿宋" w:hAnsi="仿宋" w:eastAsia="仿宋"/>
              </w:rPr>
              <w:br w:type="textWrapping"/>
            </w:r>
            <w:r>
              <w:rPr>
                <w:rFonts w:hint="eastAsia" w:ascii="仿宋" w:hAnsi="仿宋" w:eastAsia="仿宋"/>
              </w:rPr>
              <w:t>3.额定电流：≥10A。</w:t>
            </w:r>
            <w:r>
              <w:rPr>
                <w:rFonts w:hint="eastAsia" w:ascii="仿宋" w:hAnsi="仿宋" w:eastAsia="仿宋"/>
              </w:rPr>
              <w:br w:type="textWrapping"/>
            </w:r>
            <w:r>
              <w:rPr>
                <w:rFonts w:hint="eastAsia" w:ascii="仿宋" w:hAnsi="仿宋" w:eastAsia="仿宋"/>
              </w:rPr>
              <w:t>4.外壳防护等级：≥IP66。</w:t>
            </w:r>
            <w:r>
              <w:rPr>
                <w:rFonts w:hint="eastAsia" w:ascii="仿宋" w:hAnsi="仿宋" w:eastAsia="仿宋"/>
              </w:rPr>
              <w:br w:type="textWrapping"/>
            </w:r>
          </w:p>
          <w:p>
            <w:pPr>
              <w:numPr>
                <w:ilvl w:val="255"/>
                <w:numId w:val="0"/>
              </w:numPr>
              <w:spacing w:line="276" w:lineRule="auto"/>
              <w:contextualSpacing/>
              <w:jc w:val="left"/>
              <w:rPr>
                <w:rFonts w:ascii="仿宋" w:hAnsi="仿宋" w:eastAsia="仿宋"/>
              </w:rPr>
            </w:pPr>
            <w:r>
              <w:rPr>
                <w:rFonts w:hint="eastAsia" w:ascii="仿宋" w:hAnsi="仿宋" w:eastAsia="仿宋"/>
              </w:rPr>
              <w:t>防爆应急灯（2盏）：</w:t>
            </w:r>
          </w:p>
          <w:p>
            <w:pPr>
              <w:numPr>
                <w:ilvl w:val="255"/>
                <w:numId w:val="0"/>
              </w:numPr>
              <w:spacing w:line="276" w:lineRule="auto"/>
              <w:contextualSpacing/>
              <w:jc w:val="left"/>
            </w:pPr>
            <w:r>
              <w:rPr>
                <w:rFonts w:hint="eastAsia" w:ascii="仿宋" w:hAnsi="仿宋" w:eastAsia="仿宋"/>
              </w:rPr>
              <w:t>1.额定电压：AC220V。</w:t>
            </w:r>
            <w:r>
              <w:rPr>
                <w:rFonts w:hint="eastAsia" w:ascii="仿宋" w:hAnsi="仿宋" w:eastAsia="仿宋"/>
              </w:rPr>
              <w:br w:type="textWrapping"/>
            </w:r>
            <w:r>
              <w:rPr>
                <w:rFonts w:hint="eastAsia" w:ascii="仿宋" w:hAnsi="仿宋" w:eastAsia="仿宋"/>
              </w:rPr>
              <w:t>2.额定工作频率：50Hz。</w:t>
            </w:r>
            <w:r>
              <w:rPr>
                <w:rFonts w:hint="eastAsia" w:ascii="仿宋" w:hAnsi="仿宋" w:eastAsia="仿宋"/>
              </w:rPr>
              <w:br w:type="textWrapping"/>
            </w:r>
            <w:r>
              <w:rPr>
                <w:rFonts w:hint="eastAsia" w:ascii="仿宋" w:hAnsi="仿宋" w:eastAsia="仿宋"/>
              </w:rPr>
              <w:t>3.防护等级：≥IP66。</w:t>
            </w:r>
            <w:r>
              <w:rPr>
                <w:rFonts w:hint="eastAsia" w:ascii="仿宋" w:hAnsi="仿宋" w:eastAsia="仿宋"/>
              </w:rPr>
              <w:br w:type="textWrapping"/>
            </w:r>
          </w:p>
          <w:p>
            <w:pPr>
              <w:numPr>
                <w:ilvl w:val="255"/>
                <w:numId w:val="0"/>
              </w:numPr>
              <w:spacing w:line="276" w:lineRule="auto"/>
              <w:contextualSpacing/>
              <w:jc w:val="left"/>
              <w:rPr>
                <w:rFonts w:ascii="仿宋" w:hAnsi="仿宋" w:eastAsia="仿宋"/>
              </w:rPr>
            </w:pPr>
            <w:r>
              <w:rPr>
                <w:rFonts w:hint="eastAsia" w:ascii="仿宋" w:hAnsi="仿宋" w:eastAsia="仿宋"/>
              </w:rPr>
              <w:t>防爆斜插（15个）：</w:t>
            </w:r>
          </w:p>
          <w:p>
            <w:pPr>
              <w:numPr>
                <w:ilvl w:val="255"/>
                <w:numId w:val="0"/>
              </w:numPr>
              <w:spacing w:line="276" w:lineRule="auto"/>
              <w:contextualSpacing/>
              <w:jc w:val="left"/>
              <w:rPr>
                <w:rFonts w:ascii="仿宋" w:hAnsi="仿宋" w:eastAsia="仿宋"/>
              </w:rPr>
            </w:pPr>
            <w:r>
              <w:rPr>
                <w:rFonts w:hint="eastAsia" w:ascii="仿宋" w:hAnsi="仿宋" w:eastAsia="仿宋"/>
              </w:rPr>
              <w:t>1.额定电压：AC220V。</w:t>
            </w:r>
            <w:r>
              <w:rPr>
                <w:rFonts w:hint="eastAsia" w:ascii="仿宋" w:hAnsi="仿宋" w:eastAsia="仿宋"/>
              </w:rPr>
              <w:br w:type="textWrapping"/>
            </w:r>
            <w:r>
              <w:rPr>
                <w:rFonts w:hint="eastAsia" w:ascii="仿宋" w:hAnsi="仿宋" w:eastAsia="仿宋"/>
              </w:rPr>
              <w:t>2.额定工作频率：50Hz。</w:t>
            </w:r>
            <w:r>
              <w:rPr>
                <w:rFonts w:hint="eastAsia" w:ascii="仿宋" w:hAnsi="仿宋" w:eastAsia="仿宋"/>
              </w:rPr>
              <w:br w:type="textWrapping"/>
            </w:r>
            <w:r>
              <w:rPr>
                <w:rFonts w:hint="eastAsia" w:ascii="仿宋" w:hAnsi="仿宋" w:eastAsia="仿宋"/>
              </w:rPr>
              <w:t>3.外壳防护等级：≥IP66。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室内防爆空调</w:t>
            </w:r>
          </w:p>
        </w:tc>
        <w:tc>
          <w:tcPr>
            <w:tcW w:w="4193" w:type="pct"/>
            <w:vAlign w:val="center"/>
          </w:tcPr>
          <w:p>
            <w:pPr>
              <w:tabs>
                <w:tab w:val="left" w:pos="658"/>
              </w:tabs>
              <w:adjustRightInd w:val="0"/>
              <w:spacing w:line="276" w:lineRule="auto"/>
              <w:contextualSpacing/>
              <w:jc w:val="left"/>
              <w:rPr>
                <w:rFonts w:ascii="仿宋" w:hAnsi="仿宋" w:eastAsia="仿宋"/>
              </w:rPr>
            </w:pPr>
            <w:r>
              <w:rPr>
                <w:rFonts w:hint="eastAsia" w:ascii="仿宋" w:hAnsi="仿宋" w:eastAsia="仿宋"/>
              </w:rPr>
              <w:t>1.规格：≥2P</w:t>
            </w:r>
          </w:p>
          <w:p>
            <w:pPr>
              <w:tabs>
                <w:tab w:val="left" w:pos="658"/>
              </w:tabs>
              <w:adjustRightInd w:val="0"/>
              <w:spacing w:line="276" w:lineRule="auto"/>
              <w:contextualSpacing/>
              <w:jc w:val="left"/>
              <w:rPr>
                <w:rFonts w:ascii="仿宋" w:hAnsi="仿宋" w:eastAsia="仿宋"/>
              </w:rPr>
            </w:pPr>
            <w:r>
              <w:rPr>
                <w:rFonts w:hint="eastAsia" w:ascii="仿宋" w:hAnsi="仿宋" w:eastAsia="仿宋"/>
              </w:rPr>
              <w:t>2.机型：挂式机</w:t>
            </w:r>
            <w:r>
              <w:rPr>
                <w:rFonts w:hint="eastAsia" w:ascii="仿宋" w:hAnsi="仿宋" w:eastAsia="仿宋"/>
              </w:rPr>
              <w:br w:type="textWrapping"/>
            </w:r>
            <w:r>
              <w:rPr>
                <w:rFonts w:hint="eastAsia" w:ascii="仿宋" w:hAnsi="仿宋" w:eastAsia="仿宋"/>
              </w:rPr>
              <w:t>3.功能：冷暖型</w:t>
            </w:r>
          </w:p>
          <w:p>
            <w:pPr>
              <w:tabs>
                <w:tab w:val="left" w:pos="658"/>
              </w:tabs>
              <w:adjustRightInd w:val="0"/>
              <w:spacing w:line="276" w:lineRule="auto"/>
              <w:contextualSpacing/>
              <w:jc w:val="left"/>
              <w:rPr>
                <w:rFonts w:ascii="仿宋" w:hAnsi="仿宋" w:eastAsia="仿宋"/>
              </w:rPr>
            </w:pPr>
            <w:r>
              <w:rPr>
                <w:rFonts w:hint="eastAsia" w:ascii="仿宋" w:hAnsi="仿宋" w:eastAsia="仿宋"/>
              </w:rPr>
              <w:t>4.制冷量：≥5010W</w:t>
            </w:r>
            <w:r>
              <w:rPr>
                <w:rFonts w:hint="eastAsia" w:ascii="仿宋" w:hAnsi="仿宋" w:eastAsia="仿宋"/>
              </w:rPr>
              <w:br w:type="textWrapping"/>
            </w:r>
            <w:r>
              <w:rPr>
                <w:rFonts w:hint="eastAsia" w:ascii="仿宋" w:hAnsi="仿宋" w:eastAsia="仿宋"/>
              </w:rPr>
              <w:t>5.制热量：≥5520W</w:t>
            </w:r>
            <w:r>
              <w:rPr>
                <w:rFonts w:hint="eastAsia" w:ascii="仿宋" w:hAnsi="仿宋" w:eastAsia="仿宋"/>
              </w:rPr>
              <w:br w:type="textWrapping"/>
            </w:r>
            <w:r>
              <w:rPr>
                <w:rFonts w:hint="eastAsia" w:ascii="仿宋" w:hAnsi="仿宋" w:eastAsia="仿宋"/>
              </w:rPr>
              <w:t>6.防爆等级：Ex db ec ib mb nC IIB T4 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地面防静电铜排</w:t>
            </w:r>
          </w:p>
        </w:tc>
        <w:tc>
          <w:tcPr>
            <w:tcW w:w="4193" w:type="pct"/>
            <w:vAlign w:val="center"/>
          </w:tcPr>
          <w:p>
            <w:pPr>
              <w:adjustRightInd w:val="0"/>
              <w:spacing w:line="276" w:lineRule="auto"/>
              <w:contextualSpacing/>
              <w:rPr>
                <w:rFonts w:ascii="仿宋" w:hAnsi="仿宋" w:eastAsia="仿宋"/>
              </w:rPr>
            </w:pPr>
            <w:r>
              <w:rPr>
                <w:rFonts w:hint="eastAsia" w:ascii="仿宋" w:hAnsi="仿宋" w:eastAsia="仿宋"/>
              </w:rPr>
              <w:t>1.规格:≥TMY-B30×T5mm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人体静电消除装置</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1.工作电源：高性能锂电池内置</w:t>
            </w:r>
            <w:r>
              <w:rPr>
                <w:rFonts w:hint="eastAsia" w:ascii="仿宋" w:hAnsi="仿宋" w:eastAsia="仿宋"/>
              </w:rPr>
              <w:br w:type="textWrapping"/>
            </w:r>
            <w:r>
              <w:rPr>
                <w:rFonts w:hint="eastAsia" w:ascii="仿宋" w:hAnsi="仿宋" w:eastAsia="仿宋"/>
              </w:rPr>
              <w:t xml:space="preserve">2.工作电流：≤5mA </w:t>
            </w:r>
            <w:r>
              <w:rPr>
                <w:rFonts w:hint="eastAsia" w:ascii="仿宋" w:hAnsi="仿宋" w:eastAsia="仿宋"/>
              </w:rPr>
              <w:br w:type="textWrapping"/>
            </w:r>
            <w:r>
              <w:rPr>
                <w:rFonts w:hint="eastAsia" w:ascii="仿宋" w:hAnsi="仿宋" w:eastAsia="仿宋"/>
              </w:rPr>
              <w:t>3.工作温度：-40℃-60℃</w:t>
            </w:r>
            <w:r>
              <w:rPr>
                <w:rFonts w:hint="eastAsia" w:ascii="仿宋" w:hAnsi="仿宋" w:eastAsia="仿宋"/>
              </w:rPr>
              <w:br w:type="textWrapping"/>
            </w:r>
            <w:r>
              <w:rPr>
                <w:rFonts w:hint="eastAsia" w:ascii="仿宋" w:hAnsi="仿宋" w:eastAsia="仿宋"/>
              </w:rPr>
              <w:t>4.接地电阻：≤60Ω</w:t>
            </w:r>
            <w:r>
              <w:rPr>
                <w:rFonts w:hint="eastAsia" w:ascii="仿宋" w:hAnsi="仿宋" w:eastAsia="仿宋"/>
              </w:rPr>
              <w:br w:type="textWrapping"/>
            </w:r>
            <w:r>
              <w:rPr>
                <w:rFonts w:hint="eastAsia" w:ascii="仿宋" w:hAnsi="仿宋" w:eastAsia="仿宋"/>
              </w:rPr>
              <w:t>5.防爆等级：≥Ex ia IIC T6 Ga</w:t>
            </w:r>
          </w:p>
          <w:p>
            <w:pPr>
              <w:adjustRightInd w:val="0"/>
              <w:spacing w:line="276" w:lineRule="auto"/>
              <w:contextualSpacing/>
              <w:jc w:val="left"/>
              <w:rPr>
                <w:rFonts w:ascii="仿宋" w:hAnsi="仿宋" w:eastAsia="仿宋"/>
              </w:rPr>
            </w:pPr>
            <w:r>
              <w:rPr>
                <w:rFonts w:hint="eastAsia" w:ascii="仿宋" w:hAnsi="仿宋" w:eastAsia="仿宋"/>
              </w:rPr>
              <w:t>6.报警方式：声光报警、语音报警、灯光提醒等多种方式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喷淋洗眼装置</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1.主体材质SS304，符合GB/T 11170-2008《不锈钢多元素含量的测定火花放电原子发射光谱法（常规法）》标准。</w:t>
            </w:r>
          </w:p>
          <w:p>
            <w:pPr>
              <w:adjustRightInd w:val="0"/>
              <w:spacing w:line="276" w:lineRule="auto"/>
              <w:contextualSpacing/>
              <w:jc w:val="left"/>
              <w:rPr>
                <w:rFonts w:ascii="仿宋" w:hAnsi="仿宋" w:eastAsia="仿宋"/>
              </w:rPr>
            </w:pPr>
            <w:r>
              <w:rPr>
                <w:rFonts w:hint="eastAsia" w:ascii="仿宋" w:hAnsi="仿宋" w:eastAsia="仿宋"/>
              </w:rPr>
              <w:t xml:space="preserve">2.表面处理：精细抛光/高亮度环氧树脂涂层。 </w:t>
            </w:r>
          </w:p>
          <w:p>
            <w:pPr>
              <w:adjustRightInd w:val="0"/>
              <w:spacing w:line="276" w:lineRule="auto"/>
              <w:contextualSpacing/>
              <w:jc w:val="left"/>
              <w:rPr>
                <w:rFonts w:ascii="仿宋" w:hAnsi="仿宋" w:eastAsia="仿宋"/>
              </w:rPr>
            </w:pPr>
            <w:r>
              <w:rPr>
                <w:rFonts w:hint="eastAsia" w:ascii="仿宋" w:hAnsi="仿宋" w:eastAsia="仿宋"/>
              </w:rPr>
              <w:t>3.表面耐污染经试剂经过≥49项化学试剂检测无明显变化，检测合格。</w:t>
            </w:r>
          </w:p>
          <w:p>
            <w:pPr>
              <w:adjustRightInd w:val="0"/>
              <w:spacing w:line="276" w:lineRule="auto"/>
              <w:contextualSpacing/>
              <w:jc w:val="left"/>
              <w:rPr>
                <w:rFonts w:ascii="仿宋" w:hAnsi="仿宋" w:eastAsia="仿宋"/>
              </w:rPr>
            </w:pPr>
            <w:r>
              <w:rPr>
                <w:rFonts w:hint="eastAsia" w:ascii="仿宋" w:hAnsi="仿宋" w:eastAsia="仿宋"/>
              </w:rPr>
              <w:t>4.使用功能：喷淋+洗眼（可同时使用，也可分开使用）。</w:t>
            </w:r>
          </w:p>
          <w:p>
            <w:pPr>
              <w:adjustRightInd w:val="0"/>
              <w:spacing w:line="276" w:lineRule="auto"/>
              <w:contextualSpacing/>
              <w:jc w:val="left"/>
              <w:rPr>
                <w:rFonts w:ascii="仿宋" w:hAnsi="仿宋" w:eastAsia="仿宋"/>
              </w:rPr>
            </w:pPr>
            <w:r>
              <w:rPr>
                <w:rFonts w:hint="eastAsia" w:ascii="仿宋" w:hAnsi="仿宋" w:eastAsia="仿宋"/>
              </w:rPr>
              <w:t>5.开关球阀：两片式快开球阀，洗眼阀为G304不锈钢球阀，冲洗阀为1寸不锈钢球阀，开启时间 ≤1秒开启，保证水流流畅。球阀开关灵活到位，无卡阻，启闭迅速，密封可靠。</w:t>
            </w:r>
          </w:p>
          <w:p>
            <w:pPr>
              <w:adjustRightInd w:val="0"/>
              <w:spacing w:line="276" w:lineRule="auto"/>
              <w:contextualSpacing/>
              <w:jc w:val="left"/>
              <w:rPr>
                <w:rFonts w:ascii="仿宋" w:hAnsi="仿宋" w:eastAsia="仿宋"/>
              </w:rPr>
            </w:pPr>
            <w:r>
              <w:rPr>
                <w:rFonts w:hint="eastAsia" w:ascii="仿宋" w:hAnsi="仿宋" w:eastAsia="仿宋"/>
              </w:rPr>
              <w:t>6.冲淋喷头：旋压式卷边工艺设计，直径 ≥250mm。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七氟丙烷灭火装置</w:t>
            </w:r>
          </w:p>
        </w:tc>
        <w:tc>
          <w:tcPr>
            <w:tcW w:w="4193" w:type="pct"/>
            <w:vAlign w:val="center"/>
          </w:tcPr>
          <w:p>
            <w:pPr>
              <w:tabs>
                <w:tab w:val="left" w:pos="338"/>
              </w:tabs>
              <w:adjustRightInd w:val="0"/>
              <w:spacing w:line="276" w:lineRule="auto"/>
              <w:contextualSpacing/>
              <w:jc w:val="left"/>
              <w:rPr>
                <w:rFonts w:ascii="仿宋" w:hAnsi="仿宋" w:eastAsia="仿宋"/>
              </w:rPr>
            </w:pPr>
            <w:r>
              <w:rPr>
                <w:rFonts w:hint="eastAsia" w:ascii="仿宋" w:hAnsi="仿宋" w:eastAsia="仿宋"/>
              </w:rPr>
              <w:t>1.悬挂式自动灭火器。</w:t>
            </w:r>
          </w:p>
          <w:p>
            <w:pPr>
              <w:tabs>
                <w:tab w:val="left" w:pos="338"/>
              </w:tabs>
              <w:adjustRightInd w:val="0"/>
              <w:spacing w:line="276" w:lineRule="auto"/>
              <w:contextualSpacing/>
              <w:jc w:val="left"/>
              <w:rPr>
                <w:rFonts w:ascii="仿宋" w:hAnsi="仿宋" w:eastAsia="仿宋"/>
              </w:rPr>
            </w:pPr>
            <w:r>
              <w:rPr>
                <w:rFonts w:hint="eastAsia" w:ascii="仿宋" w:hAnsi="仿宋" w:eastAsia="仿宋"/>
              </w:rPr>
              <w:t>2.规格：≥4Kg。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总线制报警主机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1.参数配置：ISBUS四总线输出，支持Modbus RTU 485及无线拓展。</w:t>
            </w:r>
          </w:p>
          <w:p>
            <w:pPr>
              <w:adjustRightInd w:val="0"/>
              <w:spacing w:line="276" w:lineRule="auto"/>
              <w:contextualSpacing/>
              <w:jc w:val="left"/>
              <w:rPr>
                <w:rFonts w:ascii="仿宋" w:hAnsi="仿宋" w:eastAsia="仿宋"/>
              </w:rPr>
            </w:pPr>
            <w:r>
              <w:rPr>
                <w:rFonts w:hint="eastAsia" w:ascii="宋体" w:hAnsi="宋体" w:cs="宋体"/>
                <w:kern w:val="0"/>
                <w:szCs w:val="21"/>
              </w:rPr>
              <w:t>▲</w:t>
            </w:r>
            <w:r>
              <w:rPr>
                <w:rFonts w:hint="eastAsia" w:ascii="仿宋" w:hAnsi="仿宋" w:eastAsia="仿宋"/>
              </w:rPr>
              <w:t>2.具有联网功能，支持手机端、PC端实时查询报警记录，远程推送报警信息。</w:t>
            </w:r>
            <w:r>
              <w:rPr>
                <w:rFonts w:hint="eastAsia" w:ascii="仿宋" w:hAnsi="仿宋" w:eastAsia="仿宋"/>
              </w:rPr>
              <w:br w:type="textWrapping"/>
            </w:r>
            <w:r>
              <w:rPr>
                <w:rFonts w:hint="eastAsia" w:ascii="仿宋" w:hAnsi="仿宋" w:eastAsia="仿宋"/>
              </w:rPr>
              <w:t>3.主电源：AC220V±15% 50Hz。</w:t>
            </w:r>
          </w:p>
          <w:p>
            <w:pPr>
              <w:adjustRightInd w:val="0"/>
              <w:spacing w:line="276" w:lineRule="auto"/>
              <w:contextualSpacing/>
              <w:jc w:val="left"/>
              <w:rPr>
                <w:rFonts w:ascii="仿宋" w:hAnsi="仿宋" w:eastAsia="仿宋"/>
              </w:rPr>
            </w:pPr>
            <w:r>
              <w:rPr>
                <w:rFonts w:hint="eastAsia" w:ascii="仿宋" w:hAnsi="仿宋" w:eastAsia="仿宋"/>
              </w:rPr>
              <w:t>4.指示方式指示灯指示探测器及本机状态。</w:t>
            </w:r>
          </w:p>
          <w:p>
            <w:pPr>
              <w:adjustRightInd w:val="0"/>
              <w:spacing w:line="276" w:lineRule="auto"/>
              <w:contextualSpacing/>
              <w:jc w:val="left"/>
              <w:rPr>
                <w:rFonts w:ascii="仿宋" w:hAnsi="仿宋" w:eastAsia="仿宋"/>
              </w:rPr>
            </w:pPr>
            <w:r>
              <w:rPr>
                <w:rFonts w:hint="eastAsia" w:ascii="仿宋" w:hAnsi="仿宋" w:eastAsia="仿宋" w:cs="仿宋"/>
                <w:b/>
                <w:bCs/>
                <w:szCs w:val="21"/>
              </w:rPr>
              <w:t>以上技术要求带▲号的，投标人需提供具有CMA认证标志的第三方检测机构出具的检测报告复印件加盖投标人公章。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可燃气体报警器</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1.防爆认证：Ex db IIC T6 GbEx tb IIIC T80</w:t>
            </w:r>
            <w:r>
              <w:rPr>
                <w:rFonts w:hint="eastAsia" w:ascii="宋体" w:hAnsi="宋体" w:cs="宋体"/>
              </w:rPr>
              <w:t>℃</w:t>
            </w:r>
            <w:r>
              <w:rPr>
                <w:rFonts w:hint="eastAsia" w:ascii="仿宋" w:hAnsi="仿宋" w:eastAsia="仿宋"/>
              </w:rPr>
              <w:t xml:space="preserve"> Db。</w:t>
            </w:r>
            <w:r>
              <w:rPr>
                <w:rFonts w:hint="eastAsia" w:ascii="仿宋" w:hAnsi="仿宋" w:eastAsia="仿宋"/>
              </w:rPr>
              <w:br w:type="textWrapping"/>
            </w:r>
            <w:r>
              <w:rPr>
                <w:rFonts w:hint="eastAsia" w:ascii="仿宋" w:hAnsi="仿宋" w:eastAsia="仿宋"/>
              </w:rPr>
              <w:t>2.继电器输出：两组常开继电器。</w:t>
            </w:r>
          </w:p>
          <w:p>
            <w:pPr>
              <w:adjustRightInd w:val="0"/>
              <w:spacing w:line="276" w:lineRule="auto"/>
              <w:contextualSpacing/>
              <w:rPr>
                <w:rFonts w:ascii="仿宋" w:hAnsi="仿宋" w:eastAsia="仿宋"/>
              </w:rPr>
            </w:pPr>
            <w:r>
              <w:rPr>
                <w:rFonts w:hint="eastAsia" w:ascii="仿宋" w:hAnsi="仿宋" w:eastAsia="仿宋"/>
              </w:rPr>
              <w:t>3.通讯方式：四线制RS485信号或开关量。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bookmarkStart w:id="6" w:name="OLE_LINK174"/>
            <w:bookmarkStart w:id="7" w:name="OLE_LINK175"/>
            <w:r>
              <w:rPr>
                <w:rFonts w:hint="eastAsia" w:ascii="仿宋" w:hAnsi="仿宋" w:eastAsia="仿宋"/>
              </w:rPr>
              <w:t>温湿度报警探测器</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1.测量范围：温度：</w:t>
            </w:r>
            <w:r>
              <w:rPr>
                <w:rFonts w:hint="eastAsia" w:ascii="宋体" w:hAnsi="宋体" w:cs="宋体"/>
              </w:rPr>
              <w:t>£</w:t>
            </w:r>
            <w:r>
              <w:rPr>
                <w:rFonts w:hint="eastAsia" w:ascii="仿宋" w:hAnsi="仿宋" w:eastAsia="仿宋"/>
              </w:rPr>
              <w:t>-20.0</w:t>
            </w:r>
            <w:r>
              <w:rPr>
                <w:rFonts w:hint="eastAsia" w:ascii="仿宋" w:hAnsi="仿宋" w:eastAsia="仿宋"/>
                <w:lang w:eastAsia="ja-JP"/>
              </w:rPr>
              <w:t>℃</w:t>
            </w:r>
            <w:r>
              <w:rPr>
                <w:rFonts w:hint="eastAsia" w:ascii="仿宋" w:hAnsi="仿宋" w:eastAsia="仿宋"/>
              </w:rPr>
              <w:t>﹣80.0</w:t>
            </w:r>
            <w:r>
              <w:rPr>
                <w:rFonts w:hint="eastAsia" w:ascii="仿宋" w:hAnsi="仿宋" w:eastAsia="仿宋"/>
                <w:lang w:eastAsia="ja-JP"/>
              </w:rPr>
              <w:t>℃</w:t>
            </w:r>
            <w:r>
              <w:rPr>
                <w:rFonts w:hint="eastAsia" w:ascii="仿宋" w:hAnsi="仿宋" w:eastAsia="仿宋"/>
              </w:rPr>
              <w:t xml:space="preserve"> 湿度：</w:t>
            </w:r>
            <w:r>
              <w:rPr>
                <w:rFonts w:hint="eastAsia" w:ascii="宋体" w:hAnsi="宋体" w:cs="宋体"/>
              </w:rPr>
              <w:t>£</w:t>
            </w:r>
            <w:r>
              <w:rPr>
                <w:rFonts w:hint="eastAsia" w:ascii="仿宋" w:hAnsi="仿宋" w:eastAsia="仿宋"/>
              </w:rPr>
              <w:t>0.1﹣100.0%（RH）1。</w:t>
            </w:r>
          </w:p>
          <w:p>
            <w:pPr>
              <w:adjustRightInd w:val="0"/>
              <w:spacing w:line="276" w:lineRule="auto"/>
              <w:contextualSpacing/>
              <w:jc w:val="left"/>
              <w:rPr>
                <w:rFonts w:ascii="仿宋" w:hAnsi="仿宋" w:eastAsia="仿宋"/>
              </w:rPr>
            </w:pPr>
            <w:r>
              <w:rPr>
                <w:rFonts w:hint="eastAsia" w:ascii="仿宋" w:hAnsi="仿宋" w:eastAsia="仿宋"/>
              </w:rPr>
              <w:t>2.测量误差：温度：±0.3</w:t>
            </w:r>
            <w:r>
              <w:rPr>
                <w:rFonts w:hint="eastAsia" w:ascii="仿宋" w:hAnsi="仿宋" w:eastAsia="仿宋"/>
                <w:lang w:eastAsia="ja-JP"/>
              </w:rPr>
              <w:t>℃</w:t>
            </w:r>
            <w:r>
              <w:rPr>
                <w:rFonts w:hint="eastAsia" w:ascii="仿宋" w:hAnsi="仿宋" w:eastAsia="仿宋"/>
              </w:rPr>
              <w:t>，湿度：±2.0%（RH）。</w:t>
            </w:r>
          </w:p>
          <w:p>
            <w:pPr>
              <w:adjustRightInd w:val="0"/>
              <w:spacing w:line="276" w:lineRule="auto"/>
              <w:contextualSpacing/>
              <w:jc w:val="left"/>
              <w:rPr>
                <w:rFonts w:ascii="仿宋" w:hAnsi="仿宋" w:eastAsia="仿宋"/>
              </w:rPr>
            </w:pPr>
            <w:r>
              <w:rPr>
                <w:rFonts w:hint="eastAsia" w:ascii="仿宋" w:hAnsi="仿宋" w:eastAsia="仿宋"/>
              </w:rPr>
              <w:t>3.防护等级：≥IP66。</w:t>
            </w:r>
            <w:r>
              <w:rPr>
                <w:rFonts w:hint="eastAsia" w:ascii="仿宋" w:hAnsi="仿宋" w:eastAsia="仿宋"/>
              </w:rPr>
              <w:br w:type="textWrapping"/>
            </w:r>
            <w:r>
              <w:rPr>
                <w:rFonts w:hint="eastAsia" w:ascii="仿宋" w:hAnsi="仿宋" w:eastAsia="仿宋"/>
              </w:rPr>
              <w:t>4</w:t>
            </w:r>
            <w:r>
              <w:rPr>
                <w:rFonts w:hint="eastAsia" w:ascii="仿宋" w:hAnsi="仿宋" w:eastAsia="仿宋"/>
                <w:color w:val="FF0000"/>
              </w:rPr>
              <w:t>.报警设定：温度：低L：≤-20.0℃，高H：≥90.0℃；</w:t>
            </w:r>
            <w:r>
              <w:rPr>
                <w:rFonts w:hint="eastAsia" w:ascii="仿宋" w:hAnsi="仿宋" w:eastAsia="仿宋"/>
              </w:rPr>
              <w:t>湿度：低L：≤5.0%RH，高H：≥90.0%RH。</w:t>
            </w:r>
          </w:p>
          <w:p>
            <w:pPr>
              <w:adjustRightInd w:val="0"/>
              <w:spacing w:line="276" w:lineRule="auto"/>
              <w:contextualSpacing/>
              <w:jc w:val="left"/>
              <w:rPr>
                <w:rFonts w:ascii="仿宋" w:hAnsi="仿宋" w:eastAsia="仿宋"/>
              </w:rPr>
            </w:pPr>
            <w:r>
              <w:rPr>
                <w:rFonts w:hint="eastAsia" w:ascii="仿宋" w:hAnsi="仿宋" w:eastAsia="仿宋"/>
              </w:rPr>
              <w:t>5.响应时间：≥温度：10S  湿度：8S。</w:t>
            </w:r>
          </w:p>
          <w:p>
            <w:pPr>
              <w:adjustRightInd w:val="0"/>
              <w:spacing w:line="276" w:lineRule="auto"/>
              <w:contextualSpacing/>
              <w:rPr>
                <w:rFonts w:ascii="仿宋" w:hAnsi="仿宋" w:eastAsia="仿宋"/>
              </w:rPr>
            </w:pPr>
            <w:r>
              <w:rPr>
                <w:rFonts w:hint="eastAsia" w:ascii="仿宋" w:hAnsi="仿宋" w:eastAsia="仿宋"/>
              </w:rPr>
              <w:t>6.</w:t>
            </w:r>
            <w:r>
              <w:rPr>
                <w:rFonts w:hint="eastAsia" w:ascii="仿宋" w:hAnsi="仿宋" w:eastAsia="仿宋" w:cs="仿宋"/>
                <w:szCs w:val="21"/>
              </w:rPr>
              <w:t>12864点阵型液晶显示屏直读显示。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防爆风机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1.额定电压：AC220V。</w:t>
            </w:r>
            <w:r>
              <w:rPr>
                <w:rFonts w:hint="eastAsia" w:ascii="仿宋" w:hAnsi="仿宋" w:eastAsia="仿宋"/>
              </w:rPr>
              <w:br w:type="textWrapping"/>
            </w:r>
            <w:r>
              <w:rPr>
                <w:rFonts w:hint="eastAsia" w:ascii="仿宋" w:hAnsi="仿宋" w:eastAsia="仿宋"/>
              </w:rPr>
              <w:t>2.功率：≥0.06KW。</w:t>
            </w:r>
            <w:r>
              <w:rPr>
                <w:rFonts w:hint="eastAsia" w:ascii="仿宋" w:hAnsi="仿宋" w:eastAsia="仿宋"/>
              </w:rPr>
              <w:br w:type="textWrapping"/>
            </w:r>
            <w:r>
              <w:rPr>
                <w:rFonts w:hint="eastAsia" w:ascii="仿宋" w:hAnsi="仿宋" w:eastAsia="仿宋"/>
              </w:rPr>
              <w:t>3.风量：≥1650m/h。</w:t>
            </w:r>
            <w:r>
              <w:rPr>
                <w:rFonts w:hint="eastAsia" w:ascii="仿宋" w:hAnsi="仿宋" w:eastAsia="仿宋"/>
              </w:rPr>
              <w:br w:type="textWrapping"/>
            </w:r>
            <w:r>
              <w:rPr>
                <w:rFonts w:hint="eastAsia" w:ascii="仿宋" w:hAnsi="仿宋" w:eastAsia="仿宋"/>
              </w:rPr>
              <w:t>4.防爆等级：Ex db IIB T4 Gb。</w:t>
            </w:r>
          </w:p>
        </w:tc>
      </w:tr>
      <w:bookmarkEnd w:id="6"/>
      <w:bookmark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防爆摄像机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1.像素：≥400万。</w:t>
            </w:r>
          </w:p>
          <w:p>
            <w:pPr>
              <w:adjustRightInd w:val="0"/>
              <w:spacing w:line="276" w:lineRule="auto"/>
              <w:contextualSpacing/>
              <w:jc w:val="left"/>
              <w:rPr>
                <w:rFonts w:ascii="仿宋" w:hAnsi="仿宋" w:eastAsia="仿宋"/>
              </w:rPr>
            </w:pPr>
            <w:r>
              <w:rPr>
                <w:rFonts w:hint="eastAsia" w:ascii="仿宋" w:hAnsi="仿宋" w:eastAsia="仿宋"/>
              </w:rPr>
              <w:t>2.最高分辨率可达≥2688×1520。</w:t>
            </w:r>
            <w:r>
              <w:rPr>
                <w:rFonts w:hint="eastAsia" w:ascii="仿宋" w:hAnsi="仿宋" w:eastAsia="仿宋"/>
              </w:rPr>
              <w:br w:type="textWrapping"/>
            </w:r>
            <w:r>
              <w:rPr>
                <w:rFonts w:hint="eastAsia" w:ascii="仿宋" w:hAnsi="仿宋" w:eastAsia="仿宋"/>
              </w:rPr>
              <w:t>3.红外距离≥50米。</w:t>
            </w:r>
            <w:r>
              <w:rPr>
                <w:rFonts w:hint="eastAsia" w:ascii="仿宋" w:hAnsi="仿宋" w:eastAsia="仿宋"/>
              </w:rPr>
              <w:br w:type="textWrapping"/>
            </w:r>
            <w:r>
              <w:rPr>
                <w:rFonts w:hint="eastAsia" w:ascii="仿宋" w:hAnsi="仿宋" w:eastAsia="仿宋"/>
              </w:rPr>
              <w:t>▲4.编码：需支持H.264、H.265、MJPEG视频编码格式。</w:t>
            </w:r>
          </w:p>
          <w:p>
            <w:pPr>
              <w:adjustRightInd w:val="0"/>
              <w:spacing w:line="276" w:lineRule="auto"/>
              <w:contextualSpacing/>
              <w:jc w:val="left"/>
              <w:rPr>
                <w:rFonts w:ascii="仿宋" w:hAnsi="仿宋" w:eastAsia="仿宋"/>
              </w:rPr>
            </w:pPr>
            <w:r>
              <w:rPr>
                <w:rFonts w:hint="eastAsia" w:ascii="仿宋" w:hAnsi="仿宋" w:eastAsia="仿宋"/>
              </w:rPr>
              <w:t>▲5.需支持三码流技术，支持主码流2560x1440@25fps、第三码流1920x1080@25fps和子码流704x576@25fps输出。</w:t>
            </w:r>
            <w:r>
              <w:rPr>
                <w:rFonts w:hint="eastAsia" w:ascii="仿宋" w:hAnsi="仿宋" w:eastAsia="仿宋"/>
              </w:rPr>
              <w:br w:type="textWrapping"/>
            </w:r>
            <w:r>
              <w:rPr>
                <w:rFonts w:hint="eastAsia" w:ascii="仿宋" w:hAnsi="仿宋" w:eastAsia="仿宋"/>
              </w:rPr>
              <w:t>▲6.最低照度彩色：≤0.002 lx，黑白:≤0.0005 lx，亮度等级不小于11级。</w:t>
            </w:r>
          </w:p>
          <w:p>
            <w:pPr>
              <w:adjustRightInd w:val="0"/>
              <w:spacing w:line="276" w:lineRule="auto"/>
              <w:contextualSpacing/>
              <w:jc w:val="left"/>
              <w:rPr>
                <w:rFonts w:ascii="仿宋" w:hAnsi="仿宋" w:eastAsia="仿宋"/>
              </w:rPr>
            </w:pPr>
            <w:r>
              <w:rPr>
                <w:rFonts w:hint="eastAsia" w:ascii="仿宋" w:hAnsi="仿宋" w:eastAsia="仿宋"/>
              </w:rPr>
              <w:t>7.网络：≥1个RJ45 10 M/100 M自适应以太网口。</w:t>
            </w:r>
          </w:p>
          <w:p>
            <w:pPr>
              <w:adjustRightInd w:val="0"/>
              <w:spacing w:line="276" w:lineRule="auto"/>
              <w:contextualSpacing/>
              <w:jc w:val="left"/>
              <w:rPr>
                <w:rFonts w:ascii="仿宋" w:hAnsi="仿宋" w:eastAsia="仿宋"/>
              </w:rPr>
            </w:pPr>
            <w:r>
              <w:rPr>
                <w:rFonts w:hint="eastAsia" w:ascii="仿宋" w:hAnsi="仿宋" w:eastAsia="仿宋"/>
              </w:rPr>
              <w:t>8.需支持AC220V与POE供电，且能在AC100V~AC240V范围内正常工作。</w:t>
            </w:r>
          </w:p>
          <w:p>
            <w:pPr>
              <w:adjustRightInd w:val="0"/>
              <w:spacing w:line="276" w:lineRule="auto"/>
              <w:contextualSpacing/>
              <w:jc w:val="left"/>
              <w:rPr>
                <w:rFonts w:ascii="仿宋" w:hAnsi="仿宋" w:eastAsia="仿宋"/>
              </w:rPr>
            </w:pPr>
            <w:r>
              <w:rPr>
                <w:rFonts w:hint="eastAsia" w:ascii="仿宋" w:hAnsi="仿宋" w:eastAsia="仿宋"/>
              </w:rPr>
              <w:t>9.设备与客户端之间用200米网线进行传输，数据包丢包数≤0.1%。</w:t>
            </w:r>
            <w:r>
              <w:rPr>
                <w:rFonts w:hint="eastAsia" w:ascii="仿宋" w:hAnsi="仿宋" w:eastAsia="仿宋"/>
              </w:rPr>
              <w:br w:type="textWrapping"/>
            </w:r>
            <w:r>
              <w:rPr>
                <w:rFonts w:hint="eastAsia" w:ascii="仿宋" w:hAnsi="仿宋" w:eastAsia="仿宋"/>
              </w:rPr>
              <w:t>10.支持≥IP68防护等级，≥IK10防爆等级。</w:t>
            </w:r>
          </w:p>
          <w:p>
            <w:pPr>
              <w:adjustRightInd w:val="0"/>
              <w:spacing w:line="276" w:lineRule="auto"/>
              <w:contextualSpacing/>
              <w:jc w:val="left"/>
              <w:rPr>
                <w:rFonts w:ascii="仿宋" w:hAnsi="仿宋" w:eastAsia="仿宋"/>
              </w:rPr>
            </w:pPr>
            <w:r>
              <w:rPr>
                <w:rFonts w:hint="eastAsia" w:ascii="仿宋" w:hAnsi="仿宋" w:eastAsia="仿宋"/>
              </w:rPr>
              <w:t>11.防爆标志：Ex db ⅡC T6 Gb/Ex tb ⅢC T80℃ Db。</w:t>
            </w:r>
          </w:p>
          <w:p>
            <w:pPr>
              <w:adjustRightInd w:val="0"/>
              <w:spacing w:line="276" w:lineRule="auto"/>
              <w:contextualSpacing/>
              <w:jc w:val="left"/>
              <w:rPr>
                <w:rFonts w:ascii="仿宋" w:hAnsi="仿宋" w:eastAsia="仿宋"/>
              </w:rPr>
            </w:pPr>
            <w:r>
              <w:rPr>
                <w:rFonts w:hint="eastAsia" w:ascii="仿宋" w:hAnsi="仿宋" w:eastAsia="仿宋" w:cs="仿宋"/>
                <w:b/>
                <w:bCs/>
                <w:szCs w:val="21"/>
              </w:rPr>
              <w:t>以上技术要求带▲号的，投标人需提供具有CMA认证标志的第三方检测机构出具的检测报告复印件加盖投标人公章。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cs="仿宋"/>
              </w:rPr>
            </w:pPr>
            <w:r>
              <w:rPr>
                <w:rFonts w:hint="eastAsia" w:ascii="仿宋" w:hAnsi="仿宋" w:eastAsia="仿宋" w:cs="仿宋"/>
              </w:rPr>
              <w:t>防爆摄像机支架</w:t>
            </w:r>
          </w:p>
        </w:tc>
        <w:tc>
          <w:tcPr>
            <w:tcW w:w="4193" w:type="pct"/>
            <w:vAlign w:val="center"/>
          </w:tcPr>
          <w:p>
            <w:pPr>
              <w:adjustRightInd w:val="0"/>
              <w:spacing w:line="276" w:lineRule="auto"/>
              <w:contextualSpacing/>
              <w:rPr>
                <w:rFonts w:ascii="仿宋" w:hAnsi="仿宋" w:eastAsia="仿宋" w:cs="仿宋"/>
              </w:rPr>
            </w:pPr>
            <w:r>
              <w:rPr>
                <w:rFonts w:hint="eastAsia" w:ascii="仿宋" w:hAnsi="仿宋" w:eastAsia="仿宋" w:cs="仿宋"/>
                <w:kern w:val="0"/>
                <w:szCs w:val="21"/>
              </w:rPr>
              <w:t>1</w:t>
            </w:r>
            <w:r>
              <w:rPr>
                <w:rFonts w:hint="eastAsia" w:ascii="仿宋" w:hAnsi="仿宋" w:eastAsia="仿宋" w:cs="仿宋"/>
              </w:rPr>
              <w:t>.304不锈钢材质。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红外高清数字摄像机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1.像素：≥400万；</w:t>
            </w:r>
            <w:r>
              <w:rPr>
                <w:rFonts w:hint="eastAsia" w:ascii="仿宋" w:hAnsi="仿宋" w:eastAsia="仿宋" w:cs="仿宋"/>
                <w:szCs w:val="21"/>
              </w:rPr>
              <w:t>符合≥IP67防尘防水设计</w:t>
            </w:r>
            <w:r>
              <w:rPr>
                <w:rFonts w:hint="eastAsia" w:ascii="仿宋" w:hAnsi="仿宋" w:eastAsia="仿宋"/>
              </w:rPr>
              <w:t>。</w:t>
            </w:r>
            <w:r>
              <w:rPr>
                <w:rFonts w:hint="eastAsia" w:ascii="仿宋" w:hAnsi="仿宋" w:eastAsia="仿宋"/>
              </w:rPr>
              <w:br w:type="textWrapping"/>
            </w:r>
            <w:r>
              <w:rPr>
                <w:rFonts w:hint="eastAsia" w:ascii="仿宋" w:hAnsi="仿宋" w:eastAsia="仿宋"/>
              </w:rPr>
              <w:t>2.支持输出图像分辨率≥2560x1440。</w:t>
            </w:r>
          </w:p>
          <w:p>
            <w:pPr>
              <w:adjustRightInd w:val="0"/>
              <w:spacing w:line="276" w:lineRule="auto"/>
              <w:contextualSpacing/>
              <w:jc w:val="left"/>
              <w:rPr>
                <w:rFonts w:ascii="仿宋" w:hAnsi="仿宋" w:eastAsia="仿宋"/>
              </w:rPr>
            </w:pPr>
            <w:r>
              <w:rPr>
                <w:rFonts w:hint="eastAsia" w:ascii="仿宋" w:hAnsi="仿宋" w:eastAsia="仿宋"/>
              </w:rPr>
              <w:t>▲3.支持柔光灯补光，照射距离最远可达≥30m，补光灯灯杯采用双层透镜结构，外表平面为柔光层，采用复眼式微透镜阵列，具有六边形阵列纹路;下层束光层为鳞甲TIR透镜，内壁具有鳞甲阵列纹路。</w:t>
            </w:r>
            <w:r>
              <w:rPr>
                <w:rFonts w:hint="eastAsia" w:ascii="仿宋" w:hAnsi="仿宋" w:eastAsia="仿宋"/>
              </w:rPr>
              <w:br w:type="textWrapping"/>
            </w:r>
            <w:r>
              <w:rPr>
                <w:rFonts w:hint="eastAsia" w:ascii="宋体" w:hAnsi="宋体" w:cs="宋体"/>
                <w:kern w:val="0"/>
                <w:szCs w:val="21"/>
              </w:rPr>
              <w:t>▲</w:t>
            </w:r>
            <w:r>
              <w:rPr>
                <w:rFonts w:hint="eastAsia" w:ascii="仿宋" w:hAnsi="仿宋" w:eastAsia="仿宋"/>
              </w:rPr>
              <w:t>4.具有日夜场景自适应功能，在白天和夜晚环境下，样机均可输出彩色图像，在夜晚自动开启补光灯条件下，夜晚图像清晰度应不低于白天图像清晰度的95%。</w:t>
            </w:r>
          </w:p>
          <w:p>
            <w:pPr>
              <w:adjustRightInd w:val="0"/>
              <w:spacing w:line="276" w:lineRule="auto"/>
              <w:contextualSpacing/>
              <w:jc w:val="left"/>
              <w:rPr>
                <w:rFonts w:ascii="仿宋" w:hAnsi="仿宋" w:eastAsia="仿宋"/>
              </w:rPr>
            </w:pPr>
            <w:r>
              <w:rPr>
                <w:rFonts w:hint="eastAsia" w:ascii="仿宋" w:hAnsi="仿宋" w:eastAsia="仿宋"/>
              </w:rPr>
              <w:t>▲5.在低照度环境下，可自动调节预览场景视频画面中人体、车辆等目标及预览场景视频画面的区域曝光、亮度、色彩饱和度、对比度、锐度等。</w:t>
            </w:r>
          </w:p>
          <w:p>
            <w:pPr>
              <w:adjustRightInd w:val="0"/>
              <w:spacing w:line="276" w:lineRule="auto"/>
              <w:contextualSpacing/>
              <w:jc w:val="left"/>
              <w:rPr>
                <w:rFonts w:ascii="仿宋" w:hAnsi="仿宋" w:eastAsia="仿宋"/>
              </w:rPr>
            </w:pPr>
            <w:r>
              <w:rPr>
                <w:rFonts w:hint="eastAsia" w:ascii="仿宋" w:hAnsi="仿宋" w:eastAsia="仿宋"/>
              </w:rPr>
              <w:t>6.支持DC12V供电。</w:t>
            </w:r>
          </w:p>
          <w:p>
            <w:pPr>
              <w:adjustRightInd w:val="0"/>
              <w:spacing w:line="276" w:lineRule="auto"/>
              <w:contextualSpacing/>
              <w:jc w:val="left"/>
              <w:rPr>
                <w:rFonts w:ascii="仿宋" w:hAnsi="仿宋" w:eastAsia="仿宋"/>
              </w:rPr>
            </w:pPr>
            <w:r>
              <w:rPr>
                <w:rFonts w:hint="eastAsia" w:ascii="仿宋" w:hAnsi="仿宋" w:eastAsia="仿宋" w:cs="仿宋"/>
                <w:b/>
                <w:bCs/>
                <w:szCs w:val="21"/>
              </w:rPr>
              <w:t>以上技术要求带▲号的，投标人需提供具有CMA认证标志的第三方检测机构出具的检测报告复印件加盖投标人公章</w:t>
            </w:r>
            <w:r>
              <w:rPr>
                <w:rFonts w:hint="eastAsia" w:ascii="仿宋" w:hAnsi="仿宋" w:eastAsia="仿宋"/>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硬盘（6T）</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1.容量：≥6TB。</w:t>
            </w:r>
            <w:r>
              <w:rPr>
                <w:rFonts w:hint="eastAsia" w:ascii="仿宋" w:hAnsi="仿宋" w:eastAsia="仿宋"/>
              </w:rPr>
              <w:br w:type="textWrapping"/>
            </w:r>
            <w:r>
              <w:rPr>
                <w:rFonts w:hint="eastAsia" w:ascii="仿宋" w:hAnsi="仿宋" w:eastAsia="仿宋"/>
              </w:rPr>
              <w:t>2.接口：SATA。</w:t>
            </w:r>
            <w:r>
              <w:rPr>
                <w:rFonts w:hint="eastAsia" w:ascii="仿宋" w:hAnsi="仿宋" w:eastAsia="仿宋"/>
              </w:rPr>
              <w:br w:type="textWrapping"/>
            </w:r>
            <w:r>
              <w:rPr>
                <w:rFonts w:hint="eastAsia" w:ascii="仿宋" w:hAnsi="仿宋" w:eastAsia="仿宋"/>
              </w:rPr>
              <w:t>3.转速：≥5400转。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交换机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1.24口千兆。</w:t>
            </w:r>
          </w:p>
          <w:p>
            <w:pPr>
              <w:adjustRightInd w:val="0"/>
              <w:spacing w:line="276" w:lineRule="auto"/>
              <w:contextualSpacing/>
              <w:jc w:val="left"/>
              <w:rPr>
                <w:rFonts w:ascii="仿宋" w:hAnsi="仿宋" w:eastAsia="仿宋"/>
              </w:rPr>
            </w:pPr>
            <w:r>
              <w:rPr>
                <w:rFonts w:hint="eastAsia" w:ascii="仿宋" w:hAnsi="仿宋" w:eastAsia="仿宋"/>
              </w:rPr>
              <w:t>2.端口结构：非模块化。</w:t>
            </w:r>
          </w:p>
          <w:p>
            <w:pPr>
              <w:adjustRightInd w:val="0"/>
              <w:spacing w:line="276" w:lineRule="auto"/>
              <w:contextualSpacing/>
              <w:jc w:val="left"/>
              <w:rPr>
                <w:rFonts w:ascii="仿宋" w:hAnsi="仿宋" w:eastAsia="仿宋"/>
              </w:rPr>
            </w:pPr>
            <w:r>
              <w:rPr>
                <w:rFonts w:hint="eastAsia" w:ascii="仿宋" w:hAnsi="仿宋" w:eastAsia="仿宋"/>
              </w:rPr>
              <w:t>3.端口描述：≥24个10/100/1000M自适应以太网端口。</w:t>
            </w:r>
          </w:p>
          <w:p>
            <w:pPr>
              <w:adjustRightInd w:val="0"/>
              <w:spacing w:line="276" w:lineRule="auto"/>
              <w:contextualSpacing/>
              <w:jc w:val="left"/>
              <w:rPr>
                <w:rFonts w:ascii="仿宋" w:hAnsi="仿宋" w:eastAsia="仿宋"/>
              </w:rPr>
            </w:pPr>
            <w:r>
              <w:rPr>
                <w:rFonts w:hint="eastAsia" w:ascii="仿宋" w:hAnsi="仿宋" w:eastAsia="仿宋"/>
              </w:rPr>
              <w:t>4.传輸模式：全双工/半双工自适应。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硬盘录像主机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1.主处理器：工业级嵌入式微控制器。</w:t>
            </w:r>
            <w:r>
              <w:rPr>
                <w:rFonts w:hint="eastAsia" w:ascii="仿宋" w:hAnsi="仿宋" w:eastAsia="仿宋"/>
              </w:rPr>
              <w:br w:type="textWrapping"/>
            </w:r>
            <w:r>
              <w:rPr>
                <w:rFonts w:hint="eastAsia" w:ascii="仿宋" w:hAnsi="仿宋" w:eastAsia="仿宋"/>
              </w:rPr>
              <w:t>2.最大接入路数：≥16 路。</w:t>
            </w:r>
            <w:r>
              <w:rPr>
                <w:rFonts w:hint="eastAsia" w:ascii="仿宋" w:hAnsi="仿宋" w:eastAsia="仿宋"/>
              </w:rPr>
              <w:br w:type="textWrapping"/>
            </w:r>
            <w:r>
              <w:rPr>
                <w:rFonts w:hint="eastAsia" w:ascii="仿宋" w:hAnsi="仿宋" w:eastAsia="仿宋"/>
              </w:rPr>
              <w:t>3.硬盘接口：≥8个SATA，单盘≥10T。</w:t>
            </w:r>
            <w:r>
              <w:rPr>
                <w:rFonts w:hint="eastAsia" w:ascii="仿宋" w:hAnsi="仿宋" w:eastAsia="仿宋"/>
              </w:rPr>
              <w:br w:type="textWrapping"/>
            </w:r>
            <w:r>
              <w:rPr>
                <w:rFonts w:hint="eastAsia" w:ascii="仿宋" w:hAnsi="仿宋" w:eastAsia="仿宋"/>
              </w:rPr>
              <w:t>4.解码能力：解码总资源为8个1920×1080格式的视频图像。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机柜</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szCs w:val="21"/>
              </w:rPr>
              <w:t>1.规格：42U机柜（1800×600×600mm）。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门禁控制器</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1.控制单门双向进出。</w:t>
            </w:r>
          </w:p>
          <w:p>
            <w:pPr>
              <w:adjustRightInd w:val="0"/>
              <w:spacing w:line="276" w:lineRule="auto"/>
              <w:contextualSpacing/>
              <w:jc w:val="left"/>
              <w:rPr>
                <w:rFonts w:ascii="仿宋" w:hAnsi="仿宋" w:eastAsia="仿宋"/>
              </w:rPr>
            </w:pPr>
            <w:r>
              <w:rPr>
                <w:rFonts w:hint="eastAsia" w:ascii="仿宋" w:hAnsi="仿宋" w:eastAsia="仿宋"/>
              </w:rPr>
              <w:t>2.支持多种Weigand卡格式，支持密码键盘，兼容各种卡片。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门禁专用标准机箱</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1.机箱尺寸：≥273mm×228mm×65mm。</w:t>
            </w:r>
          </w:p>
          <w:p>
            <w:pPr>
              <w:adjustRightInd w:val="0"/>
              <w:spacing w:line="276" w:lineRule="auto"/>
              <w:contextualSpacing/>
              <w:jc w:val="left"/>
              <w:rPr>
                <w:rFonts w:ascii="仿宋" w:hAnsi="仿宋" w:eastAsia="仿宋"/>
              </w:rPr>
            </w:pPr>
            <w:r>
              <w:rPr>
                <w:rFonts w:hint="eastAsia" w:ascii="仿宋" w:hAnsi="仿宋" w:eastAsia="仿宋"/>
              </w:rPr>
              <w:t>2.输入电压：AC220V；可外接蓄电池12v7AH。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电磁锁（单开）</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1.类别：明装型。</w:t>
            </w:r>
          </w:p>
          <w:p>
            <w:pPr>
              <w:adjustRightInd w:val="0"/>
              <w:spacing w:line="276" w:lineRule="auto"/>
              <w:contextualSpacing/>
              <w:jc w:val="left"/>
              <w:rPr>
                <w:rFonts w:ascii="仿宋" w:hAnsi="仿宋" w:eastAsia="仿宋"/>
              </w:rPr>
            </w:pPr>
            <w:r>
              <w:rPr>
                <w:rFonts w:hint="eastAsia" w:ascii="仿宋" w:hAnsi="仿宋" w:eastAsia="仿宋"/>
              </w:rPr>
              <w:t>2.电压：DC12V输入。</w:t>
            </w:r>
            <w:r>
              <w:rPr>
                <w:rFonts w:hint="eastAsia" w:ascii="仿宋" w:hAnsi="仿宋" w:eastAsia="仿宋"/>
              </w:rPr>
              <w:br w:type="textWrapping"/>
            </w:r>
            <w:r>
              <w:rPr>
                <w:rFonts w:hint="eastAsia" w:ascii="仿宋" w:hAnsi="仿宋" w:eastAsia="仿宋"/>
              </w:rPr>
              <w:t>3.抗拉力：≥280kg级。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门禁读卡器</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1.卡支持：ID卡/IC卡。</w:t>
            </w:r>
          </w:p>
          <w:p>
            <w:pPr>
              <w:adjustRightInd w:val="0"/>
              <w:spacing w:line="276" w:lineRule="auto"/>
              <w:contextualSpacing/>
              <w:jc w:val="left"/>
              <w:rPr>
                <w:rFonts w:ascii="仿宋" w:hAnsi="仿宋" w:eastAsia="仿宋"/>
              </w:rPr>
            </w:pPr>
            <w:r>
              <w:rPr>
                <w:rFonts w:hint="eastAsia" w:ascii="仿宋" w:hAnsi="仿宋" w:eastAsia="仿宋"/>
              </w:rPr>
              <w:t>2.读卡距离：≥5cm。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门禁卡</w:t>
            </w:r>
          </w:p>
        </w:tc>
        <w:tc>
          <w:tcPr>
            <w:tcW w:w="4193" w:type="pct"/>
            <w:vAlign w:val="center"/>
          </w:tcPr>
          <w:p>
            <w:pPr>
              <w:adjustRightInd w:val="0"/>
              <w:spacing w:line="276" w:lineRule="auto"/>
              <w:contextualSpacing/>
              <w:rPr>
                <w:rFonts w:ascii="仿宋" w:hAnsi="仿宋" w:eastAsia="仿宋"/>
              </w:rPr>
            </w:pPr>
            <w:r>
              <w:rPr>
                <w:rFonts w:hint="eastAsia" w:ascii="仿宋" w:hAnsi="仿宋" w:eastAsia="仿宋"/>
              </w:rPr>
              <w:t>1.IC卡。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出门按钮</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1.规格：86型开关，≥86mm×86mm。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shd w:val="clear" w:color="auto" w:fill="auto"/>
            <w:vAlign w:val="center"/>
          </w:tcPr>
          <w:p>
            <w:pPr>
              <w:adjustRightInd w:val="0"/>
              <w:spacing w:line="276" w:lineRule="auto"/>
              <w:contextualSpacing/>
              <w:jc w:val="center"/>
              <w:rPr>
                <w:rFonts w:ascii="仿宋" w:hAnsi="仿宋" w:eastAsia="仿宋"/>
              </w:rPr>
            </w:pPr>
            <w:r>
              <w:rPr>
                <w:rFonts w:hint="eastAsia" w:ascii="仿宋" w:hAnsi="仿宋" w:eastAsia="仿宋"/>
              </w:rPr>
              <w:t>玻破开关</w:t>
            </w:r>
          </w:p>
        </w:tc>
        <w:tc>
          <w:tcPr>
            <w:tcW w:w="4193" w:type="pct"/>
            <w:shd w:val="clear" w:color="auto" w:fill="auto"/>
            <w:vAlign w:val="center"/>
          </w:tcPr>
          <w:p>
            <w:pPr>
              <w:adjustRightInd w:val="0"/>
              <w:spacing w:line="276" w:lineRule="auto"/>
              <w:contextualSpacing/>
              <w:jc w:val="left"/>
              <w:rPr>
                <w:rFonts w:ascii="仿宋" w:hAnsi="仿宋" w:eastAsia="仿宋"/>
              </w:rPr>
            </w:pPr>
            <w:r>
              <w:rPr>
                <w:rFonts w:hint="eastAsia" w:ascii="仿宋" w:hAnsi="仿宋" w:eastAsia="仿宋"/>
              </w:rPr>
              <w:t>1.规格：86型开关；</w:t>
            </w:r>
          </w:p>
          <w:p>
            <w:pPr>
              <w:adjustRightInd w:val="0"/>
              <w:spacing w:line="276" w:lineRule="auto"/>
              <w:contextualSpacing/>
              <w:jc w:val="left"/>
              <w:rPr>
                <w:rFonts w:ascii="仿宋" w:hAnsi="仿宋" w:eastAsia="仿宋"/>
              </w:rPr>
            </w:pPr>
            <w:r>
              <w:rPr>
                <w:rFonts w:hint="eastAsia" w:ascii="仿宋" w:hAnsi="仿宋" w:eastAsia="仿宋"/>
              </w:rPr>
              <w:t>2.适用类型:门禁紧急开门、安防信号输出等。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8路报警主机</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szCs w:val="21"/>
              </w:rPr>
              <w:t>1.8防区微电脑控制、键盘编程。</w:t>
            </w:r>
            <w:r>
              <w:rPr>
                <w:rFonts w:hint="eastAsia" w:ascii="仿宋" w:hAnsi="仿宋" w:eastAsia="仿宋"/>
                <w:szCs w:val="21"/>
              </w:rPr>
              <w:br w:type="textWrapping"/>
            </w:r>
            <w:r>
              <w:rPr>
                <w:rFonts w:hint="eastAsia" w:ascii="仿宋" w:hAnsi="仿宋" w:eastAsia="仿宋"/>
                <w:szCs w:val="21"/>
              </w:rPr>
              <w:t>2.编程简单：主叫号、被叫号、地址码、密码、延时报警时间、布防／撤防方式可由用户随意自行操作设定。</w:t>
            </w:r>
            <w:r>
              <w:rPr>
                <w:rFonts w:hint="eastAsia" w:ascii="仿宋" w:hAnsi="仿宋" w:eastAsia="仿宋"/>
                <w:szCs w:val="21"/>
              </w:rPr>
              <w:br w:type="textWrapping"/>
            </w:r>
            <w:r>
              <w:rPr>
                <w:rFonts w:hint="eastAsia" w:ascii="宋体" w:hAnsi="宋体" w:cs="宋体"/>
                <w:kern w:val="0"/>
                <w:szCs w:val="21"/>
              </w:rPr>
              <w:t>▲</w:t>
            </w:r>
            <w:r>
              <w:rPr>
                <w:rFonts w:hint="eastAsia" w:ascii="仿宋" w:hAnsi="仿宋" w:eastAsia="仿宋"/>
                <w:szCs w:val="21"/>
              </w:rPr>
              <w:t>3.发生警情时能与报警中心联网，并将报警信息上传至报警中心。</w:t>
            </w:r>
            <w:r>
              <w:rPr>
                <w:rFonts w:hint="eastAsia" w:ascii="仿宋" w:hAnsi="仿宋" w:eastAsia="仿宋"/>
                <w:szCs w:val="21"/>
              </w:rPr>
              <w:br w:type="textWrapping"/>
            </w:r>
            <w:r>
              <w:rPr>
                <w:rFonts w:hint="eastAsia" w:ascii="仿宋" w:hAnsi="仿宋" w:eastAsia="仿宋"/>
                <w:szCs w:val="21"/>
              </w:rPr>
              <w:t>4.操作键盘密码进行布防／撤防。</w:t>
            </w:r>
            <w:r>
              <w:rPr>
                <w:rFonts w:hint="eastAsia" w:ascii="仿宋" w:hAnsi="仿宋" w:eastAsia="仿宋"/>
                <w:szCs w:val="21"/>
              </w:rPr>
              <w:br w:type="textWrapping"/>
            </w:r>
            <w:r>
              <w:rPr>
                <w:rFonts w:hint="eastAsia" w:ascii="仿宋" w:hAnsi="仿宋" w:eastAsia="仿宋"/>
                <w:szCs w:val="21"/>
              </w:rPr>
              <w:t>5.具有四种密码，具有不同的控制权限，可分配给不同级别的管理人员使用。可配用一个安装员码，八个用户码。</w:t>
            </w:r>
            <w:r>
              <w:rPr>
                <w:rFonts w:hint="eastAsia" w:ascii="仿宋" w:hAnsi="仿宋" w:eastAsia="仿宋"/>
                <w:szCs w:val="21"/>
              </w:rPr>
              <w:br w:type="textWrapping"/>
            </w:r>
            <w:r>
              <w:rPr>
                <w:rFonts w:hint="eastAsia" w:ascii="仿宋" w:hAnsi="仿宋" w:eastAsia="仿宋" w:cs="仿宋"/>
                <w:b/>
                <w:bCs/>
                <w:szCs w:val="21"/>
              </w:rPr>
              <w:t>以上技术要求带▲号的，投标人需提供具有CMA认证标志的第三方检测机构出具的检测报告复印件加盖投标人公章</w:t>
            </w:r>
            <w:r>
              <w:rPr>
                <w:rFonts w:hint="eastAsia" w:ascii="仿宋" w:hAnsi="仿宋" w:eastAsia="仿宋"/>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8路报警主机键盘</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1.每一个防区用数字LED表示。</w:t>
            </w:r>
            <w:r>
              <w:rPr>
                <w:rFonts w:hint="eastAsia" w:ascii="仿宋" w:hAnsi="仿宋" w:eastAsia="仿宋"/>
              </w:rPr>
              <w:br w:type="textWrapping"/>
            </w:r>
            <w:r>
              <w:rPr>
                <w:rFonts w:hint="eastAsia" w:ascii="仿宋" w:hAnsi="仿宋" w:eastAsia="仿宋"/>
              </w:rPr>
              <w:t>2.系统状态用状态LED灯显示。</w:t>
            </w:r>
            <w:r>
              <w:rPr>
                <w:rFonts w:hint="eastAsia" w:ascii="仿宋" w:hAnsi="仿宋" w:eastAsia="仿宋"/>
              </w:rPr>
              <w:br w:type="textWrapping"/>
            </w:r>
            <w:r>
              <w:rPr>
                <w:rFonts w:hint="eastAsia" w:ascii="仿宋" w:hAnsi="仿宋" w:eastAsia="仿宋"/>
              </w:rPr>
              <w:t>3.电气：≥12VDC，≥35mA。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防爆双鉴探测器</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1.报警时间：≤2s。</w:t>
            </w:r>
            <w:r>
              <w:rPr>
                <w:rFonts w:hint="eastAsia" w:ascii="仿宋" w:hAnsi="仿宋" w:eastAsia="仿宋"/>
              </w:rPr>
              <w:br w:type="textWrapping"/>
            </w:r>
            <w:r>
              <w:rPr>
                <w:rFonts w:hint="eastAsia" w:ascii="仿宋" w:hAnsi="仿宋" w:eastAsia="仿宋"/>
              </w:rPr>
              <w:t>2.检测速度：0.2m/s to 3.5m/s。</w:t>
            </w:r>
            <w:r>
              <w:rPr>
                <w:rFonts w:hint="eastAsia" w:ascii="仿宋" w:hAnsi="仿宋" w:eastAsia="仿宋"/>
              </w:rPr>
              <w:br w:type="textWrapping"/>
            </w:r>
            <w:r>
              <w:rPr>
                <w:rFonts w:hint="eastAsia" w:ascii="仿宋" w:hAnsi="仿宋" w:eastAsia="仿宋"/>
              </w:rPr>
              <w:t>3.防爆标志:Ex db IIB T6 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报警联动模块</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1.输出模块与键盘并联连接。</w:t>
            </w:r>
            <w:r>
              <w:rPr>
                <w:rFonts w:hint="eastAsia" w:ascii="仿宋" w:hAnsi="仿宋" w:eastAsia="仿宋"/>
              </w:rPr>
              <w:br w:type="textWrapping"/>
            </w:r>
            <w:r>
              <w:rPr>
                <w:rFonts w:hint="eastAsia" w:ascii="仿宋" w:hAnsi="仿宋" w:eastAsia="仿宋"/>
              </w:rPr>
              <w:t>2.可最大提供≥16路防区报警输出及≥8路系统状态输出。</w:t>
            </w:r>
            <w:r>
              <w:rPr>
                <w:rFonts w:hint="eastAsia" w:ascii="仿宋" w:hAnsi="仿宋" w:eastAsia="仿宋"/>
              </w:rPr>
              <w:br w:type="textWrapping"/>
            </w:r>
            <w:r>
              <w:rPr>
                <w:rFonts w:hint="eastAsia" w:ascii="仿宋" w:hAnsi="仿宋" w:eastAsia="仿宋"/>
              </w:rPr>
              <w:t>3.需适用报警主机，实现报警联动。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报警打印机</w:t>
            </w:r>
          </w:p>
        </w:tc>
        <w:tc>
          <w:tcPr>
            <w:tcW w:w="4193" w:type="pct"/>
            <w:vAlign w:val="center"/>
          </w:tcPr>
          <w:p>
            <w:pPr>
              <w:adjustRightInd w:val="0"/>
              <w:spacing w:line="276" w:lineRule="auto"/>
              <w:contextualSpacing/>
              <w:jc w:val="left"/>
              <w:rPr>
                <w:rFonts w:ascii="仿宋" w:hAnsi="仿宋"/>
              </w:rPr>
            </w:pPr>
            <w:r>
              <w:rPr>
                <w:rFonts w:hint="eastAsia" w:ascii="仿宋" w:hAnsi="仿宋" w:eastAsia="仿宋"/>
              </w:rPr>
              <w:t>1.综合语音播报，信息存储，时钟显示，报警信息记录输出。</w:t>
            </w:r>
            <w:r>
              <w:rPr>
                <w:rFonts w:hint="eastAsia" w:ascii="仿宋" w:hAnsi="仿宋" w:eastAsia="仿宋"/>
              </w:rPr>
              <w:br w:type="textWrapping"/>
            </w:r>
            <w:r>
              <w:rPr>
                <w:rFonts w:hint="eastAsia" w:ascii="宋体" w:hAnsi="宋体" w:cs="宋体"/>
                <w:kern w:val="0"/>
                <w:szCs w:val="21"/>
              </w:rPr>
              <w:t>▲</w:t>
            </w:r>
            <w:r>
              <w:rPr>
                <w:rFonts w:hint="eastAsia" w:ascii="仿宋" w:hAnsi="仿宋" w:eastAsia="仿宋"/>
              </w:rPr>
              <w:t>2.具备布防、撤防、报警、报警清除、旁路、解除旁路、紧急报警、编程、编程结束、存储信息、故障、脱机等信息及时间。</w:t>
            </w:r>
            <w:r>
              <w:rPr>
                <w:rFonts w:hint="eastAsia" w:ascii="仿宋" w:hAnsi="仿宋" w:eastAsia="仿宋"/>
              </w:rPr>
              <w:br w:type="textWrapping"/>
            </w:r>
            <w:r>
              <w:rPr>
                <w:rFonts w:hint="eastAsia" w:ascii="仿宋" w:hAnsi="仿宋" w:eastAsia="仿宋"/>
              </w:rPr>
              <w:t>3.报警信息的时间准确到时、分、秒；</w:t>
            </w:r>
            <w:r>
              <w:rPr>
                <w:rFonts w:hint="eastAsia" w:ascii="仿宋" w:hAnsi="仿宋" w:eastAsia="仿宋" w:cs="仿宋"/>
                <w:szCs w:val="21"/>
              </w:rPr>
              <w:t>采用串口通讯协议</w:t>
            </w:r>
            <w:r>
              <w:rPr>
                <w:rFonts w:hint="eastAsia" w:ascii="仿宋" w:hAnsi="仿宋" w:eastAsia="仿宋"/>
              </w:rPr>
              <w:t>。</w:t>
            </w:r>
            <w:r>
              <w:rPr>
                <w:rFonts w:hint="eastAsia" w:ascii="仿宋" w:hAnsi="仿宋" w:eastAsia="仿宋"/>
              </w:rPr>
              <w:br w:type="textWrapping"/>
            </w:r>
            <w:r>
              <w:rPr>
                <w:rFonts w:hint="eastAsia" w:ascii="仿宋" w:hAnsi="仿宋" w:eastAsia="仿宋" w:cs="仿宋"/>
                <w:b/>
                <w:bCs/>
                <w:szCs w:val="21"/>
              </w:rPr>
              <w:t>以上技术要求带▲号的，投标人需提供具有CMA认证标志的第三方检测机构出具的检测报告复印件加盖投标人公章</w:t>
            </w:r>
            <w:r>
              <w:rPr>
                <w:rFonts w:hint="eastAsia" w:ascii="仿宋" w:hAnsi="仿宋" w:eastAsia="仿宋"/>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危化品应急处置箱</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1.柜体尺寸:</w:t>
            </w:r>
            <w:r>
              <w:rPr>
                <w:rFonts w:hint="eastAsia" w:ascii="宋体" w:hAnsi="宋体" w:cs="宋体"/>
              </w:rPr>
              <w:t>≥</w:t>
            </w:r>
            <w:r>
              <w:rPr>
                <w:rFonts w:hint="eastAsia" w:ascii="仿宋" w:hAnsi="仿宋" w:eastAsia="仿宋"/>
              </w:rPr>
              <w:t>H850×W560×D350mm。</w:t>
            </w:r>
            <w:r>
              <w:rPr>
                <w:rFonts w:hint="eastAsia" w:ascii="仿宋" w:hAnsi="仿宋" w:eastAsia="仿宋"/>
              </w:rPr>
              <w:br w:type="textWrapping"/>
            </w:r>
            <w:r>
              <w:rPr>
                <w:rFonts w:hint="eastAsia" w:ascii="仿宋" w:hAnsi="仿宋" w:eastAsia="仿宋"/>
              </w:rPr>
              <w:t>2.壳体全部采用</w:t>
            </w:r>
            <w:r>
              <w:rPr>
                <w:rFonts w:hint="eastAsia" w:ascii="宋体" w:hAnsi="宋体" w:cs="宋体"/>
              </w:rPr>
              <w:t>≥</w:t>
            </w:r>
            <w:r>
              <w:rPr>
                <w:rFonts w:hint="eastAsia" w:ascii="仿宋" w:hAnsi="仿宋" w:eastAsia="仿宋"/>
              </w:rPr>
              <w:t>1.0MM的冷轧钢板,内外表面经酸洗磷化环氧树脂粉末喷涂，烘热固化处理。</w:t>
            </w:r>
          </w:p>
          <w:p>
            <w:pPr>
              <w:spacing w:line="276" w:lineRule="auto"/>
              <w:contextualSpacing/>
              <w:jc w:val="left"/>
              <w:rPr>
                <w:rFonts w:ascii="仿宋" w:hAnsi="仿宋" w:eastAsia="仿宋"/>
              </w:rPr>
            </w:pPr>
            <w:r>
              <w:rPr>
                <w:rFonts w:hint="eastAsia" w:ascii="仿宋" w:hAnsi="仿宋" w:eastAsia="仿宋"/>
              </w:rPr>
              <w:t>3.配套物资：</w:t>
            </w:r>
            <w:r>
              <w:rPr>
                <w:rFonts w:hint="eastAsia" w:ascii="仿宋" w:hAnsi="仿宋" w:eastAsia="仿宋" w:cs="仿宋"/>
                <w:szCs w:val="21"/>
              </w:rPr>
              <w:t>灭火毯（1个）、防毒面具（1个）、MSDS资料盒（1个）、吸附棉片（数量2片）、吸附棉条（数量1条）、手套（数量2个）。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vAlign w:val="center"/>
          </w:tcPr>
          <w:p>
            <w:pPr>
              <w:adjustRightInd w:val="0"/>
              <w:spacing w:line="276" w:lineRule="auto"/>
              <w:contextualSpacing/>
              <w:jc w:val="center"/>
              <w:rPr>
                <w:rFonts w:ascii="仿宋" w:hAnsi="仿宋" w:eastAsia="仿宋"/>
              </w:rPr>
            </w:pPr>
            <w:r>
              <w:rPr>
                <w:rFonts w:hint="eastAsia" w:ascii="仿宋" w:hAnsi="仿宋" w:eastAsia="仿宋"/>
              </w:rPr>
              <w:t>危化品防护服</w:t>
            </w:r>
          </w:p>
        </w:tc>
        <w:tc>
          <w:tcPr>
            <w:tcW w:w="4193" w:type="pct"/>
            <w:vAlign w:val="center"/>
          </w:tcPr>
          <w:p>
            <w:pPr>
              <w:adjustRightInd w:val="0"/>
              <w:spacing w:line="276" w:lineRule="auto"/>
              <w:contextualSpacing/>
              <w:jc w:val="left"/>
              <w:rPr>
                <w:rFonts w:ascii="仿宋" w:hAnsi="仿宋" w:eastAsia="仿宋"/>
              </w:rPr>
            </w:pPr>
            <w:r>
              <w:rPr>
                <w:rFonts w:hint="eastAsia" w:ascii="仿宋" w:hAnsi="仿宋" w:eastAsia="仿宋"/>
              </w:rPr>
              <w:t>1.整体气密性：4分钟内压力下降不大于测试压力20%；向内泄漏率≤0.05%。款式为连体全封闭结构。</w:t>
            </w:r>
          </w:p>
          <w:p>
            <w:pPr>
              <w:adjustRightInd w:val="0"/>
              <w:spacing w:line="276" w:lineRule="auto"/>
              <w:contextualSpacing/>
              <w:jc w:val="left"/>
              <w:rPr>
                <w:rFonts w:ascii="仿宋" w:hAnsi="仿宋" w:eastAsia="仿宋"/>
              </w:rPr>
            </w:pPr>
            <w:r>
              <w:rPr>
                <w:rFonts w:hint="eastAsia" w:ascii="仿宋" w:hAnsi="仿宋" w:eastAsia="仿宋"/>
              </w:rPr>
              <w:t>2.面料机械性能：耐磨性能≥3级；抗撕裂、抗穿刺、断裂强力、耐屈挠破坏满足国家相关标准。接缝：全部接缝采用热封贴条密封工艺，接缝渗透、液体耐压穿透性能与面料等级匹配，不得简单缝纫无贴条，外层阻隔膜加内部两层无纺布，防放射性颗粒物、耐酸碱防护级别3&amp;4类/C级。</w:t>
            </w:r>
          </w:p>
        </w:tc>
      </w:tr>
    </w:tbl>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2、采购标的需满足的服务标准、期限、效率等要求；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详见上文。</w:t>
      </w:r>
    </w:p>
    <w:p>
      <w:pPr>
        <w:pStyle w:val="2"/>
      </w:pP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pPr>
        <w:snapToGrid w:val="0"/>
        <w:spacing w:line="360" w:lineRule="auto"/>
        <w:ind w:firstLine="480" w:firstLineChars="200"/>
        <w:rPr>
          <w:rFonts w:ascii="仿宋" w:hAnsi="仿宋" w:eastAsia="仿宋" w:cs="仿宋"/>
          <w:b/>
          <w:sz w:val="24"/>
          <w:highlight w:val="cyan"/>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bookmarkStart w:id="8"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9" w:name="OLE_LINK55"/>
      <w:bookmarkStart w:id="10" w:name="OLE_LINK56"/>
      <w:r>
        <w:rPr>
          <w:rFonts w:hint="eastAsia" w:ascii="仿宋" w:hAnsi="仿宋" w:eastAsia="仿宋" w:cs="仿宋"/>
          <w:b/>
          <w:bCs/>
          <w:sz w:val="24"/>
        </w:rPr>
        <w:t>投标人</w:t>
      </w:r>
      <w:bookmarkEnd w:id="9"/>
      <w:bookmarkEnd w:id="10"/>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8"/>
    </w:p>
    <w:p>
      <w:pPr>
        <w:pStyle w:val="2"/>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4、采购标的的其他技术、服务等要求；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4.1、项目实施需求：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1）投标人提供针对本项目的实施方案，同时严格按照采购人及合同要求的工期完成安装调试工作。</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2）投标人应当做好安全管理工作，负责货物安装及施工现场的安全。</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3）投标人保证提供的货物是全新的未经使用的产品，投标人提供满足技术要求的设备。投标人免费提供全套、完整的中文书面技术资料，包括操作手册等。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4）投标人负责货物的运输及全部保险，包括但不限于购买或者要求承运人购买货运保险及其他第三者责任险，并对其在项目现场提供服务、培训的人员进行保险。运输费和保险费包含在合同总价款中。</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pPr>
        <w:spacing w:line="360" w:lineRule="auto"/>
        <w:ind w:firstLine="480" w:firstLineChars="200"/>
        <w:contextualSpacing/>
        <w:rPr>
          <w:rFonts w:ascii="仿宋" w:hAnsi="仿宋" w:eastAsia="仿宋" w:cs="仿宋"/>
          <w:bCs/>
          <w:sz w:val="24"/>
        </w:rPr>
      </w:pPr>
      <w:bookmarkStart w:id="11" w:name="OLE_LINK203"/>
      <w:bookmarkStart w:id="12" w:name="OLE_LINK202"/>
      <w:r>
        <w:rPr>
          <w:rFonts w:hint="eastAsia" w:ascii="仿宋" w:hAnsi="仿宋" w:eastAsia="仿宋" w:cs="仿宋"/>
          <w:bCs/>
          <w:sz w:val="24"/>
        </w:rPr>
        <w:t>4.2.1、</w:t>
      </w:r>
      <w:bookmarkEnd w:id="11"/>
      <w:bookmarkEnd w:id="12"/>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pPr>
        <w:pStyle w:val="2"/>
        <w:spacing w:line="360" w:lineRule="auto"/>
        <w:contextualSpacing/>
        <w:rPr>
          <w:rFonts w:ascii="仿宋" w:hAnsi="仿宋" w:eastAsia="仿宋" w:cs="仿宋"/>
          <w:bCs/>
        </w:rPr>
      </w:pPr>
      <w:r>
        <w:rPr>
          <w:rFonts w:hint="eastAsia" w:ascii="仿宋" w:hAnsi="仿宋" w:eastAsia="仿宋" w:cs="仿宋"/>
          <w:bCs/>
        </w:rPr>
        <w:t>4.2.5、中标人负责本包的设备采购、运输、安装、调试工作。投标人投标报价包括产品费、运输费、应缴纳的税费、验收费、培训费、安装调试费等交付采购人使用的一切费用。</w:t>
      </w:r>
    </w:p>
    <w:p>
      <w:pPr>
        <w:pStyle w:val="2"/>
        <w:spacing w:line="360" w:lineRule="auto"/>
        <w:contextualSpacing/>
        <w:rPr>
          <w:rFonts w:ascii="仿宋" w:hAnsi="仿宋" w:eastAsia="仿宋" w:cs="仿宋"/>
          <w:bCs/>
        </w:rPr>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第3包：</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1、验收内容：设备品牌型号，数量、质量能否满足参数要求，调试是否正常。</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2、验收标准：合同约定或国家标准、行业标准、厂标或招标文件的规定，设备产品应经制造商质量检验合格后方可以出厂，产品均需提供合格证明。因设备质量问题引起调试不合格，由中标人无偿调换。</w:t>
      </w:r>
    </w:p>
    <w:p>
      <w:pPr>
        <w:snapToGrid w:val="0"/>
        <w:spacing w:line="360" w:lineRule="auto"/>
        <w:ind w:firstLine="480" w:firstLineChars="200"/>
        <w:rPr>
          <w:rFonts w:ascii="仿宋" w:hAnsi="仿宋" w:eastAsia="仿宋" w:cs="仿宋"/>
          <w:bCs/>
        </w:rPr>
      </w:pPr>
      <w:r>
        <w:rPr>
          <w:rFonts w:hint="eastAsia" w:ascii="仿宋" w:hAnsi="仿宋" w:eastAsia="仿宋" w:cs="仿宋"/>
          <w:bCs/>
          <w:sz w:val="24"/>
        </w:rPr>
        <w:t>3、中标人所提供和交付的货物应是全新的、未使用过的、完全符合以上质量技术标准的原装正品，且表面无划伤、无碰撞；货物的安装维修，须由专业安装调试人员按照国家现行安装规范来实施。</w:t>
      </w:r>
    </w:p>
    <w:p>
      <w:pPr>
        <w:numPr>
          <w:ilvl w:val="255"/>
          <w:numId w:val="0"/>
        </w:numPr>
        <w:snapToGrid w:val="0"/>
        <w:spacing w:line="360" w:lineRule="auto"/>
        <w:ind w:firstLine="482" w:firstLineChars="200"/>
        <w:rPr>
          <w:rFonts w:ascii="仿宋" w:hAnsi="仿宋" w:eastAsia="仿宋" w:cs="仿宋"/>
          <w:b/>
          <w:bCs/>
          <w:sz w:val="24"/>
        </w:rPr>
      </w:pP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pPr>
        <w:pStyle w:val="2"/>
        <w:sectPr>
          <w:pgSz w:w="11906" w:h="16838"/>
          <w:pgMar w:top="1440" w:right="1800" w:bottom="1440" w:left="1800" w:header="851" w:footer="992" w:gutter="0"/>
          <w:cols w:space="425" w:num="1"/>
          <w:docGrid w:type="lines" w:linePitch="312" w:charSpace="0"/>
        </w:sectPr>
      </w:pPr>
      <w:bookmarkStart w:id="13" w:name="_GoBack"/>
      <w:bookmarkEnd w:id="13"/>
    </w:p>
    <w:p>
      <w:pPr>
        <w:snapToGrid w:val="0"/>
        <w:spacing w:line="540" w:lineRule="exact"/>
        <w:jc w:val="both"/>
        <w:outlineLvl w:val="0"/>
        <w:rPr>
          <w:rFonts w:hint="default"/>
          <w:b/>
          <w:sz w:val="36"/>
          <w:szCs w:val="36"/>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53</w: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6545117"/>
    <w:rsid w:val="1726356D"/>
    <w:rsid w:val="394D2B6F"/>
    <w:rsid w:val="397F48CA"/>
    <w:rsid w:val="3F3E6946"/>
    <w:rsid w:val="3F71347F"/>
    <w:rsid w:val="48121EF9"/>
    <w:rsid w:val="4B7E2B6C"/>
    <w:rsid w:val="521073DB"/>
    <w:rsid w:val="5B87078B"/>
    <w:rsid w:val="5D9D153B"/>
    <w:rsid w:val="5E240131"/>
    <w:rsid w:val="629A6484"/>
    <w:rsid w:val="685A6F6C"/>
    <w:rsid w:val="6DA01CBF"/>
    <w:rsid w:val="6FF65CE1"/>
    <w:rsid w:val="70F013FA"/>
    <w:rsid w:val="774638A7"/>
    <w:rsid w:val="79A40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ind w:left="11" w:right="125"/>
      <w:jc w:val="center"/>
      <w:outlineLvl w:val="0"/>
    </w:pPr>
    <w:rPr>
      <w:rFonts w:ascii="Times New Roman" w:hAnsi="Times New Roman"/>
      <w:sz w:val="36"/>
      <w:szCs w:val="84"/>
    </w:rPr>
  </w:style>
  <w:style w:type="paragraph" w:styleId="4">
    <w:name w:val="heading 2"/>
    <w:basedOn w:val="1"/>
    <w:next w:val="1"/>
    <w:unhideWhenUsed/>
    <w:qFormat/>
    <w:uiPriority w:val="9"/>
    <w:pPr>
      <w:outlineLvl w:val="1"/>
    </w:pPr>
    <w:rPr>
      <w:rFonts w:ascii="Times New Roman" w:hAnsi="Times New Roman"/>
      <w:b/>
      <w:szCs w:val="52"/>
    </w:rPr>
  </w:style>
  <w:style w:type="paragraph" w:styleId="5">
    <w:name w:val="heading 3"/>
    <w:basedOn w:val="1"/>
    <w:next w:val="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Body Text Indent"/>
    <w:basedOn w:val="1"/>
    <w:qFormat/>
    <w:uiPriority w:val="0"/>
    <w:pPr>
      <w:spacing w:line="360" w:lineRule="auto"/>
      <w:ind w:firstLine="570"/>
    </w:pPr>
    <w:rPr>
      <w:sz w:val="24"/>
    </w:rPr>
  </w:style>
  <w:style w:type="paragraph" w:styleId="9">
    <w:name w:val="Plain Text"/>
    <w:basedOn w:val="1"/>
    <w:qFormat/>
    <w:uiPriority w:val="0"/>
    <w:rPr>
      <w:rFonts w:hint="eastAsia" w:ascii="宋体" w:hAnsi="Courier New"/>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937"/>
      </w:tabs>
      <w:spacing w:line="312" w:lineRule="auto"/>
      <w:ind w:left="420" w:leftChars="200"/>
    </w:pPr>
  </w:style>
  <w:style w:type="paragraph" w:styleId="1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8"/>
    <w:qFormat/>
    <w:uiPriority w:val="0"/>
    <w:pPr>
      <w:spacing w:after="120" w:line="480" w:lineRule="exact"/>
      <w:ind w:left="420" w:leftChars="200" w:firstLine="420" w:firstLineChars="200"/>
    </w:pPr>
    <w:rPr>
      <w:szCs w:val="20"/>
    </w:r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page number"/>
    <w:qFormat/>
    <w:uiPriority w:val="0"/>
  </w:style>
  <w:style w:type="character" w:styleId="19">
    <w:name w:val="annotation reference"/>
    <w:basedOn w:val="17"/>
    <w:qFormat/>
    <w:uiPriority w:val="99"/>
    <w:rPr>
      <w:sz w:val="21"/>
      <w:szCs w:val="21"/>
    </w:rPr>
  </w:style>
  <w:style w:type="paragraph" w:customStyle="1" w:styleId="20">
    <w:name w:val="SOW正文"/>
    <w:basedOn w:val="1"/>
    <w:qFormat/>
    <w:uiPriority w:val="0"/>
    <w:pPr>
      <w:snapToGrid w:val="0"/>
      <w:spacing w:before="120" w:line="400" w:lineRule="exact"/>
      <w:ind w:firstLine="425"/>
    </w:pPr>
    <w:rPr>
      <w:rFonts w:ascii="Times New Roman" w:hAnsi="Times New Roman"/>
      <w:sz w:val="24"/>
      <w:szCs w:val="20"/>
    </w:rPr>
  </w:style>
  <w:style w:type="paragraph" w:styleId="21">
    <w:name w:val="List Paragraph"/>
    <w:basedOn w:val="1"/>
    <w:qFormat/>
    <w:uiPriority w:val="34"/>
    <w:pPr>
      <w:ind w:firstLine="420" w:firstLineChars="200"/>
    </w:pPr>
    <w:rPr>
      <w:rFonts w:cs="Times New Roman"/>
      <w:szCs w:val="22"/>
    </w:rPr>
  </w:style>
  <w:style w:type="paragraph" w:customStyle="1" w:styleId="22">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4">
    <w:name w:val="_Style 269"/>
    <w:basedOn w:val="1"/>
    <w:next w:val="21"/>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2026-08-11T02:45:26Z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