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360" w:lineRule="auto"/>
        <w:ind w:firstLine="482"/>
        <w:contextualSpacing/>
        <w:jc w:val="center"/>
        <w:rPr>
          <w:rFonts w:ascii="仿宋" w:hAnsi="仿宋" w:eastAsia="仿宋"/>
          <w:b/>
        </w:rPr>
      </w:pPr>
      <w:bookmarkStart w:id="0" w:name="OLE_LINK121"/>
      <w:bookmarkStart w:id="1" w:name="OLE_LINK120"/>
      <w:r>
        <w:rPr>
          <w:rFonts w:ascii="仿宋" w:hAnsi="仿宋" w:eastAsia="仿宋"/>
          <w:b/>
        </w:rPr>
        <w:t>第</w:t>
      </w:r>
      <w:r>
        <w:rPr>
          <w:rFonts w:hint="eastAsia" w:ascii="仿宋" w:hAnsi="仿宋" w:eastAsia="仿宋"/>
          <w:b/>
        </w:rPr>
        <w:t>1包 测试化验加工委托服务1</w:t>
      </w:r>
      <w:bookmarkEnd w:id="0"/>
      <w:bookmarkEnd w:id="1"/>
    </w:p>
    <w:p>
      <w:pPr>
        <w:pStyle w:val="6"/>
        <w:spacing w:line="360" w:lineRule="auto"/>
        <w:ind w:firstLine="482"/>
        <w:contextualSpacing/>
        <w:rPr>
          <w:rFonts w:ascii="仿宋" w:hAnsi="仿宋" w:eastAsia="仿宋"/>
          <w:b/>
          <w:sz w:val="21"/>
          <w:szCs w:val="21"/>
        </w:rPr>
      </w:pPr>
      <w:bookmarkStart w:id="2" w:name="OLE_LINK178"/>
      <w:bookmarkStart w:id="3" w:name="OLE_LINK179"/>
      <w:r>
        <w:rPr>
          <w:rFonts w:hint="eastAsia" w:ascii="仿宋" w:hAnsi="仿宋" w:eastAsia="仿宋"/>
          <w:b/>
          <w:sz w:val="21"/>
          <w:szCs w:val="21"/>
        </w:rPr>
        <w:t>（一）委托服务</w:t>
      </w:r>
      <w:bookmarkEnd w:id="2"/>
      <w:bookmarkEnd w:id="3"/>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7"/>
        <w:gridCol w:w="1446"/>
        <w:gridCol w:w="1560"/>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b/>
                <w:bCs/>
                <w:kern w:val="0"/>
                <w:szCs w:val="21"/>
              </w:rPr>
            </w:pPr>
            <w:bookmarkStart w:id="4" w:name="_Hlk234265047"/>
            <w:r>
              <w:rPr>
                <w:rFonts w:hint="eastAsia" w:ascii="仿宋" w:hAnsi="仿宋" w:eastAsia="仿宋" w:cs="宋体"/>
                <w:b/>
                <w:bCs/>
                <w:kern w:val="0"/>
                <w:szCs w:val="21"/>
              </w:rPr>
              <w:t>委托服务明细</w:t>
            </w:r>
          </w:p>
        </w:tc>
        <w:tc>
          <w:tcPr>
            <w:tcW w:w="848" w:type="pct"/>
            <w:shd w:val="clear" w:color="auto" w:fill="auto"/>
            <w:noWrap/>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单位</w:t>
            </w:r>
          </w:p>
        </w:tc>
        <w:tc>
          <w:tcPr>
            <w:tcW w:w="915" w:type="pct"/>
            <w:shd w:val="clear" w:color="auto" w:fill="auto"/>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数量</w:t>
            </w:r>
          </w:p>
        </w:tc>
        <w:tc>
          <w:tcPr>
            <w:tcW w:w="1360" w:type="pct"/>
            <w:shd w:val="clear" w:color="auto" w:fill="auto"/>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单价</w:t>
            </w:r>
            <w:bookmarkStart w:id="5" w:name="OLE_LINK171"/>
            <w:bookmarkStart w:id="6" w:name="OLE_LINK170"/>
            <w:bookmarkStart w:id="7" w:name="OLE_LINK211"/>
            <w:r>
              <w:rPr>
                <w:rFonts w:hint="eastAsia" w:ascii="仿宋" w:hAnsi="仿宋" w:eastAsia="仿宋" w:cs="宋体"/>
                <w:b/>
                <w:kern w:val="0"/>
                <w:szCs w:val="21"/>
              </w:rPr>
              <w:t>限价（人民币元）</w:t>
            </w:r>
            <w:bookmarkEnd w:id="5"/>
            <w:bookmarkEnd w:id="6"/>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kern w:val="0"/>
                <w:szCs w:val="21"/>
              </w:rPr>
            </w:pPr>
            <w:bookmarkStart w:id="8" w:name="OLE_LINK255"/>
            <w:bookmarkStart w:id="9" w:name="OLE_LINK256"/>
            <w:r>
              <w:rPr>
                <w:rFonts w:hint="eastAsia" w:ascii="仿宋" w:hAnsi="仿宋" w:eastAsia="仿宋" w:cs="宋体"/>
                <w:kern w:val="0"/>
                <w:szCs w:val="21"/>
              </w:rPr>
              <w:t>DNA测序</w:t>
            </w:r>
            <w:bookmarkEnd w:id="8"/>
            <w:bookmarkEnd w:id="9"/>
          </w:p>
        </w:tc>
        <w:tc>
          <w:tcPr>
            <w:tcW w:w="848" w:type="pct"/>
            <w:shd w:val="clear" w:color="auto" w:fill="auto"/>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个</w:t>
            </w:r>
          </w:p>
        </w:tc>
        <w:tc>
          <w:tcPr>
            <w:tcW w:w="915"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9500</w:t>
            </w:r>
          </w:p>
        </w:tc>
        <w:tc>
          <w:tcPr>
            <w:tcW w:w="1360"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16.00</w:t>
            </w: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kern w:val="0"/>
                <w:szCs w:val="21"/>
              </w:rPr>
            </w:pPr>
            <w:bookmarkStart w:id="10" w:name="OLE_LINK257"/>
            <w:r>
              <w:rPr>
                <w:rFonts w:hint="eastAsia" w:ascii="仿宋" w:hAnsi="仿宋" w:eastAsia="仿宋" w:cs="宋体"/>
                <w:kern w:val="0"/>
                <w:szCs w:val="21"/>
              </w:rPr>
              <w:t>PCR产物、质粒测序</w:t>
            </w:r>
            <w:bookmarkEnd w:id="10"/>
          </w:p>
        </w:tc>
        <w:tc>
          <w:tcPr>
            <w:tcW w:w="848" w:type="pct"/>
            <w:shd w:val="clear" w:color="auto" w:fill="auto"/>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反应</w:t>
            </w:r>
          </w:p>
        </w:tc>
        <w:tc>
          <w:tcPr>
            <w:tcW w:w="915"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10000</w:t>
            </w:r>
          </w:p>
        </w:tc>
        <w:tc>
          <w:tcPr>
            <w:tcW w:w="1360"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kern w:val="0"/>
                <w:szCs w:val="21"/>
              </w:rPr>
            </w:pPr>
            <w:bookmarkStart w:id="11" w:name="OLE_LINK258"/>
            <w:r>
              <w:rPr>
                <w:rFonts w:hint="eastAsia" w:ascii="仿宋" w:hAnsi="仿宋" w:eastAsia="仿宋" w:cs="宋体"/>
                <w:kern w:val="0"/>
                <w:szCs w:val="21"/>
              </w:rPr>
              <w:t>探针合成</w:t>
            </w:r>
            <w:bookmarkEnd w:id="11"/>
          </w:p>
        </w:tc>
        <w:tc>
          <w:tcPr>
            <w:tcW w:w="848" w:type="pct"/>
            <w:shd w:val="clear" w:color="auto" w:fill="auto"/>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条</w:t>
            </w:r>
          </w:p>
        </w:tc>
        <w:tc>
          <w:tcPr>
            <w:tcW w:w="915"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65</w:t>
            </w:r>
          </w:p>
        </w:tc>
        <w:tc>
          <w:tcPr>
            <w:tcW w:w="1360"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引物合成</w:t>
            </w:r>
          </w:p>
        </w:tc>
        <w:tc>
          <w:tcPr>
            <w:tcW w:w="848" w:type="pct"/>
            <w:shd w:val="clear" w:color="auto" w:fill="auto"/>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碱基</w:t>
            </w:r>
          </w:p>
        </w:tc>
        <w:tc>
          <w:tcPr>
            <w:tcW w:w="915"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35000</w:t>
            </w:r>
          </w:p>
        </w:tc>
        <w:tc>
          <w:tcPr>
            <w:tcW w:w="1360"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2.00</w:t>
            </w:r>
          </w:p>
        </w:tc>
      </w:tr>
    </w:tbl>
    <w:p>
      <w:pPr>
        <w:spacing w:line="360" w:lineRule="auto"/>
        <w:contextualSpacing/>
        <w:rPr>
          <w:rFonts w:ascii="仿宋" w:hAnsi="仿宋" w:eastAsia="仿宋" w:cs="仿宋"/>
          <w:b/>
          <w:bCs/>
          <w:szCs w:val="21"/>
        </w:rPr>
      </w:pPr>
      <w:bookmarkStart w:id="12" w:name="OLE_LINK173"/>
      <w:bookmarkStart w:id="13" w:name="OLE_LINK172"/>
      <w:bookmarkStart w:id="14" w:name="OLE_LINK183"/>
      <w:bookmarkStart w:id="15" w:name="OLE_LINK199"/>
      <w:bookmarkStart w:id="16" w:name="OLE_LINK243"/>
      <w:r>
        <w:rPr>
          <w:rFonts w:hint="eastAsia" w:ascii="仿宋" w:hAnsi="仿宋" w:eastAsia="仿宋" w:cs="仿宋"/>
          <w:b/>
          <w:bCs/>
          <w:szCs w:val="21"/>
        </w:rPr>
        <w:t>注：1）投标人所报委托服务明细单价不能超过上述单价限价，否则按废标处理。</w:t>
      </w:r>
    </w:p>
    <w:p>
      <w:pPr>
        <w:spacing w:line="360" w:lineRule="auto"/>
        <w:ind w:firstLine="422" w:firstLineChars="200"/>
        <w:contextualSpacing/>
        <w:rPr>
          <w:rFonts w:ascii="仿宋" w:hAnsi="仿宋" w:eastAsia="仿宋"/>
          <w:b/>
          <w:szCs w:val="21"/>
        </w:rPr>
      </w:pPr>
      <w:r>
        <w:rPr>
          <w:rFonts w:hint="eastAsia" w:ascii="仿宋" w:hAnsi="仿宋" w:eastAsia="仿宋" w:cs="仿宋"/>
          <w:b/>
          <w:bCs/>
          <w:szCs w:val="21"/>
        </w:rPr>
        <w:t>2）投标人所报数量不能低于上述委托服务中列明的数量，否则按废标处理。</w:t>
      </w:r>
      <w:bookmarkEnd w:id="12"/>
      <w:bookmarkEnd w:id="13"/>
      <w:bookmarkEnd w:id="14"/>
      <w:bookmarkEnd w:id="15"/>
      <w:bookmarkEnd w:id="16"/>
    </w:p>
    <w:p>
      <w:pPr>
        <w:pStyle w:val="6"/>
        <w:spacing w:line="360" w:lineRule="auto"/>
        <w:ind w:firstLine="482"/>
        <w:contextualSpacing/>
        <w:rPr>
          <w:rFonts w:ascii="仿宋" w:hAnsi="仿宋" w:eastAsia="仿宋"/>
          <w:b/>
          <w:sz w:val="21"/>
          <w:szCs w:val="21"/>
        </w:rPr>
      </w:pPr>
      <w:bookmarkStart w:id="17" w:name="OLE_LINK174"/>
      <w:r>
        <w:rPr>
          <w:rFonts w:hint="eastAsia" w:ascii="仿宋" w:hAnsi="仿宋" w:eastAsia="仿宋"/>
          <w:b/>
          <w:sz w:val="21"/>
          <w:szCs w:val="21"/>
        </w:rPr>
        <w:t>（二）商务要求</w:t>
      </w:r>
      <w:bookmarkEnd w:id="17"/>
    </w:p>
    <w:p>
      <w:pPr>
        <w:pStyle w:val="6"/>
        <w:spacing w:line="360" w:lineRule="auto"/>
        <w:contextualSpacing/>
        <w:rPr>
          <w:rFonts w:ascii="仿宋" w:hAnsi="仿宋" w:eastAsia="仿宋"/>
          <w:sz w:val="21"/>
          <w:szCs w:val="21"/>
        </w:rPr>
      </w:pPr>
      <w:r>
        <w:rPr>
          <w:rFonts w:hint="eastAsia" w:ascii="仿宋" w:hAnsi="仿宋" w:eastAsia="仿宋"/>
          <w:sz w:val="21"/>
          <w:szCs w:val="21"/>
        </w:rPr>
        <w:t>1.测试化验加工服务方案能清晰理解采购人测试服务要求，并能全面覆盖项目所有测试化验加工内容，标准明确，流程清晰，技术措施具体，有切实可行的协调、解决和完成项目的工作方法和措施。</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2.合同签订后根据用户具体需求分批次把样品交付给投标人，收到样品后按照合同要求时间交付相应结果。</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3.结果(含检测序列)遵照生物安全和信息保密相关规定按用户要求发往指定服务地点。</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4.采购人有权要求投标人提供本服务检测过程中的任何相关数据。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5.售后服务：投标人中标后，需每月向采购人提供服务进度报告(包含每份样本收费明细)。</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6.技术履约验收内容：采购人按照国家有关规定以及招标文件的要求、投标人的投标文件及承诺与本项目合同约定标准进行验收。</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7.投标人</w:t>
      </w:r>
      <w:r>
        <w:rPr>
          <w:rFonts w:ascii="仿宋" w:hAnsi="仿宋" w:eastAsia="仿宋"/>
          <w:sz w:val="21"/>
          <w:szCs w:val="21"/>
        </w:rPr>
        <w:t>实验室具有96通道测序仪并</w:t>
      </w:r>
      <w:r>
        <w:rPr>
          <w:rFonts w:hint="eastAsia" w:ascii="仿宋" w:hAnsi="仿宋" w:eastAsia="仿宋"/>
          <w:sz w:val="21"/>
          <w:szCs w:val="21"/>
        </w:rPr>
        <w:t>提供仪器购置合同或发票等证明材料</w:t>
      </w:r>
      <w:r>
        <w:rPr>
          <w:rFonts w:ascii="仿宋" w:hAnsi="仿宋" w:eastAsia="仿宋"/>
          <w:sz w:val="21"/>
          <w:szCs w:val="21"/>
        </w:rPr>
        <w:t>。</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8.项目管理人员1人，具有高级技术职务职称，提供管理人员证书为准；拟投入本项目的检测人员具备相关专业中级或以上职称≥3人。</w:t>
      </w:r>
    </w:p>
    <w:p>
      <w:pPr>
        <w:pStyle w:val="6"/>
        <w:spacing w:line="360" w:lineRule="auto"/>
        <w:ind w:firstLine="482"/>
        <w:contextualSpacing/>
        <w:rPr>
          <w:rFonts w:ascii="仿宋" w:hAnsi="仿宋" w:eastAsia="仿宋" w:cs="宋体"/>
          <w:sz w:val="21"/>
          <w:szCs w:val="21"/>
        </w:rPr>
      </w:pPr>
      <w:r>
        <w:rPr>
          <w:rFonts w:hint="eastAsia" w:ascii="仿宋" w:hAnsi="仿宋" w:eastAsia="仿宋"/>
          <w:sz w:val="21"/>
          <w:szCs w:val="21"/>
        </w:rPr>
        <w:t>9.投标人需针对在</w:t>
      </w:r>
      <w:r>
        <w:rPr>
          <w:rFonts w:hint="eastAsia" w:ascii="仿宋" w:hAnsi="仿宋" w:eastAsia="仿宋" w:cs="宋体"/>
          <w:sz w:val="21"/>
          <w:szCs w:val="21"/>
        </w:rPr>
        <w:t>样品采集、测序分析中可能发生的情况分析及应急处理方案，并对每一项内容进行详细阐述，具有具体实施细节。</w:t>
      </w:r>
    </w:p>
    <w:p>
      <w:pPr>
        <w:pStyle w:val="6"/>
        <w:spacing w:line="360" w:lineRule="auto"/>
        <w:ind w:firstLine="482"/>
        <w:contextualSpacing/>
        <w:rPr>
          <w:rFonts w:ascii="仿宋" w:hAnsi="仿宋" w:eastAsia="仿宋"/>
          <w:sz w:val="21"/>
          <w:szCs w:val="21"/>
        </w:rPr>
      </w:pPr>
      <w:bookmarkStart w:id="18" w:name="OLE_LINK261"/>
      <w:bookmarkStart w:id="19" w:name="OLE_LINK262"/>
      <w:r>
        <w:rPr>
          <w:rFonts w:hint="eastAsia" w:ascii="仿宋" w:hAnsi="仿宋" w:eastAsia="仿宋"/>
          <w:sz w:val="21"/>
          <w:szCs w:val="21"/>
        </w:rPr>
        <w:t>10.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11.本项目产生的检测数据、分析结果及相关研究成果的知识产权归采购人所有。</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12.投标人应建立样品接收、登记、储存、处理、销毁的全流程管理制度，确保样品可追溯、可核查。</w:t>
      </w:r>
      <w:bookmarkEnd w:id="18"/>
      <w:bookmarkEnd w:id="19"/>
      <w:r>
        <w:rPr>
          <w:rFonts w:hint="eastAsia" w:ascii="仿宋" w:hAnsi="仿宋" w:eastAsia="仿宋"/>
          <w:sz w:val="21"/>
        </w:rPr>
        <w:t>需安排专人上门接收样品，并提供取样人员名单及联系方式。</w:t>
      </w:r>
    </w:p>
    <w:p>
      <w:pPr>
        <w:pStyle w:val="6"/>
        <w:spacing w:line="360" w:lineRule="auto"/>
        <w:ind w:firstLine="482"/>
        <w:contextualSpacing/>
        <w:rPr>
          <w:rFonts w:ascii="仿宋" w:hAnsi="仿宋" w:eastAsia="仿宋"/>
          <w:b/>
          <w:sz w:val="21"/>
          <w:szCs w:val="21"/>
        </w:rPr>
      </w:pPr>
      <w:r>
        <w:rPr>
          <w:rFonts w:hint="eastAsia" w:ascii="仿宋" w:hAnsi="仿宋" w:eastAsia="仿宋"/>
          <w:b/>
          <w:sz w:val="21"/>
          <w:szCs w:val="21"/>
        </w:rPr>
        <w:t>（三）技术要求</w:t>
      </w:r>
    </w:p>
    <w:p>
      <w:pPr>
        <w:pStyle w:val="6"/>
        <w:spacing w:line="360" w:lineRule="auto"/>
        <w:ind w:firstLine="482"/>
        <w:contextualSpacing/>
        <w:rPr>
          <w:rFonts w:ascii="仿宋" w:hAnsi="仿宋" w:eastAsia="仿宋"/>
          <w:sz w:val="21"/>
          <w:szCs w:val="21"/>
        </w:rPr>
      </w:pPr>
      <w:r>
        <w:rPr>
          <w:rFonts w:ascii="仿宋" w:hAnsi="仿宋" w:eastAsia="仿宋"/>
          <w:sz w:val="21"/>
          <w:szCs w:val="21"/>
        </w:rPr>
        <w:t>1.能提供符合该项基因检测分析要求的测序能力，可适用于市场上各品牌核酸扩增试剂检测产物</w:t>
      </w:r>
      <w:r>
        <w:rPr>
          <w:rFonts w:hint="eastAsia" w:ascii="仿宋" w:hAnsi="仿宋" w:eastAsia="仿宋"/>
          <w:sz w:val="21"/>
          <w:szCs w:val="21"/>
        </w:rPr>
        <w:t>。</w:t>
      </w:r>
    </w:p>
    <w:p>
      <w:pPr>
        <w:pStyle w:val="6"/>
        <w:spacing w:line="360" w:lineRule="auto"/>
        <w:ind w:firstLine="482"/>
        <w:contextualSpacing/>
        <w:rPr>
          <w:rFonts w:ascii="仿宋" w:hAnsi="仿宋" w:eastAsia="仿宋"/>
          <w:sz w:val="21"/>
          <w:szCs w:val="21"/>
        </w:rPr>
      </w:pPr>
      <w:r>
        <w:rPr>
          <w:rFonts w:ascii="仿宋" w:hAnsi="仿宋" w:eastAsia="仿宋"/>
          <w:sz w:val="21"/>
          <w:szCs w:val="21"/>
        </w:rPr>
        <w:t>2.实验室分区明确符合测序实验要求，测序质量稳定;</w:t>
      </w:r>
      <w:r>
        <w:rPr>
          <w:rFonts w:hint="eastAsia" w:ascii="仿宋" w:hAnsi="仿宋" w:eastAsia="仿宋"/>
          <w:sz w:val="21"/>
          <w:szCs w:val="21"/>
        </w:rPr>
        <w:t>同时对于测序使用的引物可以免费保存1年。</w:t>
      </w:r>
    </w:p>
    <w:p>
      <w:pPr>
        <w:pStyle w:val="6"/>
        <w:tabs>
          <w:tab w:val="left" w:pos="7655"/>
          <w:tab w:val="left" w:pos="8306"/>
        </w:tabs>
        <w:spacing w:line="360" w:lineRule="auto"/>
        <w:ind w:firstLine="482"/>
        <w:contextualSpacing/>
        <w:rPr>
          <w:rFonts w:ascii="仿宋" w:hAnsi="仿宋" w:eastAsia="仿宋"/>
          <w:sz w:val="21"/>
          <w:szCs w:val="21"/>
        </w:rPr>
      </w:pPr>
      <w:r>
        <w:rPr>
          <w:rFonts w:ascii="仿宋" w:hAnsi="仿宋" w:eastAsia="仿宋"/>
          <w:sz w:val="21"/>
          <w:szCs w:val="21"/>
        </w:rPr>
        <w:t>3.在一条终序列中表示一个成功反应，保证测序色谱图文件峰型清晰度</w:t>
      </w:r>
      <w:r>
        <w:rPr>
          <w:rFonts w:hint="eastAsia" w:ascii="仿宋" w:hAnsi="仿宋" w:eastAsia="仿宋"/>
          <w:sz w:val="21"/>
          <w:szCs w:val="21"/>
        </w:rPr>
        <w:t>＞</w:t>
      </w:r>
      <w:r>
        <w:rPr>
          <w:rFonts w:ascii="仿宋" w:hAnsi="仿宋" w:eastAsia="仿宋"/>
          <w:sz w:val="21"/>
          <w:szCs w:val="21"/>
        </w:rPr>
        <w:t>700bp</w:t>
      </w:r>
      <w:r>
        <w:rPr>
          <w:rFonts w:hint="eastAsia" w:ascii="仿宋" w:hAnsi="仿宋" w:eastAsia="仿宋"/>
          <w:sz w:val="21"/>
          <w:szCs w:val="21"/>
        </w:rPr>
        <w:t>。</w:t>
      </w:r>
    </w:p>
    <w:p>
      <w:pPr>
        <w:pStyle w:val="6"/>
        <w:spacing w:line="360" w:lineRule="auto"/>
        <w:ind w:firstLine="482"/>
        <w:contextualSpacing/>
        <w:rPr>
          <w:rFonts w:ascii="仿宋" w:hAnsi="仿宋" w:eastAsia="仿宋"/>
          <w:sz w:val="21"/>
          <w:szCs w:val="21"/>
        </w:rPr>
      </w:pPr>
      <w:r>
        <w:rPr>
          <w:rFonts w:ascii="仿宋" w:hAnsi="仿宋" w:eastAsia="仿宋"/>
          <w:sz w:val="21"/>
          <w:szCs w:val="21"/>
        </w:rPr>
        <w:t>4.条带位置正确和清晰的情况下，</w:t>
      </w:r>
      <w:r>
        <w:rPr>
          <w:rFonts w:hint="eastAsia" w:ascii="仿宋" w:hAnsi="仿宋" w:eastAsia="仿宋"/>
          <w:sz w:val="21"/>
          <w:szCs w:val="21"/>
        </w:rPr>
        <w:t>采用切胶纯化（免费提供纯化）</w:t>
      </w:r>
      <w:r>
        <w:rPr>
          <w:rFonts w:ascii="仿宋" w:hAnsi="仿宋" w:eastAsia="仿宋"/>
          <w:sz w:val="21"/>
          <w:szCs w:val="21"/>
        </w:rPr>
        <w:t>测序成功率</w:t>
      </w:r>
      <w:r>
        <w:rPr>
          <w:rFonts w:hint="eastAsia" w:ascii="仿宋" w:hAnsi="仿宋" w:eastAsia="仿宋"/>
          <w:sz w:val="21"/>
          <w:szCs w:val="21"/>
        </w:rPr>
        <w:t>需</w:t>
      </w:r>
      <w:r>
        <w:rPr>
          <w:rFonts w:ascii="仿宋" w:hAnsi="仿宋" w:eastAsia="仿宋"/>
          <w:sz w:val="21"/>
          <w:szCs w:val="21"/>
        </w:rPr>
        <w:t>在90%以上</w:t>
      </w:r>
      <w:r>
        <w:rPr>
          <w:rFonts w:hint="eastAsia" w:ascii="仿宋" w:hAnsi="仿宋" w:eastAsia="仿宋"/>
          <w:sz w:val="21"/>
          <w:szCs w:val="21"/>
        </w:rPr>
        <w:t>。</w:t>
      </w:r>
    </w:p>
    <w:p>
      <w:pPr>
        <w:pStyle w:val="6"/>
        <w:spacing w:line="360" w:lineRule="auto"/>
        <w:ind w:firstLine="482"/>
        <w:contextualSpacing/>
        <w:rPr>
          <w:rFonts w:ascii="仿宋" w:hAnsi="仿宋" w:eastAsia="仿宋"/>
          <w:sz w:val="21"/>
          <w:szCs w:val="21"/>
        </w:rPr>
      </w:pPr>
      <w:r>
        <w:rPr>
          <w:rFonts w:ascii="仿宋" w:hAnsi="仿宋" w:eastAsia="仿宋"/>
          <w:sz w:val="21"/>
          <w:szCs w:val="21"/>
        </w:rPr>
        <w:t>5.对于测序反应不成功，或者部分成功但是测序后不能完整拼接的样本记为失败测序，不计费且要提供相应的解决方案，并重复测序。</w:t>
      </w:r>
    </w:p>
    <w:p>
      <w:pPr>
        <w:pStyle w:val="6"/>
        <w:spacing w:line="360" w:lineRule="auto"/>
        <w:ind w:firstLine="482"/>
        <w:contextualSpacing/>
        <w:rPr>
          <w:rFonts w:ascii="仿宋" w:hAnsi="仿宋" w:eastAsia="仿宋"/>
          <w:sz w:val="21"/>
          <w:szCs w:val="21"/>
        </w:rPr>
      </w:pPr>
      <w:r>
        <w:rPr>
          <w:rFonts w:ascii="仿宋" w:hAnsi="仿宋" w:eastAsia="仿宋"/>
          <w:sz w:val="21"/>
          <w:szCs w:val="21"/>
        </w:rPr>
        <w:t>6.混合样本扩增效果不理想时，可以做克隆测序</w:t>
      </w:r>
      <w:r>
        <w:rPr>
          <w:rFonts w:hint="eastAsia" w:ascii="仿宋" w:hAnsi="仿宋" w:eastAsia="仿宋"/>
          <w:sz w:val="21"/>
          <w:szCs w:val="21"/>
        </w:rPr>
        <w:t>，载体免费提供。</w:t>
      </w:r>
    </w:p>
    <w:p>
      <w:pPr>
        <w:pStyle w:val="6"/>
        <w:spacing w:line="360" w:lineRule="auto"/>
        <w:ind w:firstLine="482"/>
        <w:contextualSpacing/>
        <w:rPr>
          <w:rFonts w:ascii="仿宋" w:hAnsi="仿宋" w:eastAsia="仿宋"/>
          <w:sz w:val="21"/>
          <w:szCs w:val="21"/>
        </w:rPr>
      </w:pPr>
      <w:r>
        <w:rPr>
          <w:rFonts w:ascii="仿宋" w:hAnsi="仿宋" w:eastAsia="仿宋"/>
          <w:sz w:val="21"/>
          <w:szCs w:val="21"/>
        </w:rPr>
        <w:t>7.有能力提供测序全程服务,即采购人提供未知病原核酸原始样本,</w:t>
      </w:r>
      <w:r>
        <w:rPr>
          <w:rFonts w:hint="eastAsia" w:ascii="仿宋" w:hAnsi="仿宋" w:eastAsia="仿宋"/>
          <w:sz w:val="21"/>
          <w:szCs w:val="21"/>
        </w:rPr>
        <w:t>投标人</w:t>
      </w:r>
      <w:r>
        <w:rPr>
          <w:rFonts w:ascii="仿宋" w:hAnsi="仿宋" w:eastAsia="仿宋"/>
          <w:sz w:val="21"/>
          <w:szCs w:val="21"/>
        </w:rPr>
        <w:t>提供扩增、测序、拼接、分析等全部服务</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8.引物合成提供OPC,PAGE,HPLC三种纯化方式，可根据采购人需求进行定制合成，一次性最多可提供4OD，接收引物订单之后1个工作日送货上门。</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9.引物合成序列分子量误差(%)≤±0.05%（兼并碱基除外），可进行质谱检测。干粉引物外观为均一的粉末或透明晶体，无明显杂质；液体引物外观为无色/特定颜色液体，澄清透明，无明显杂质。</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10</w:t>
      </w:r>
      <w:r>
        <w:rPr>
          <w:rFonts w:ascii="仿宋" w:hAnsi="仿宋" w:eastAsia="仿宋"/>
          <w:sz w:val="21"/>
          <w:szCs w:val="21"/>
        </w:rPr>
        <w:t>.接收样品后1个工作日内即可通过E-mail发送测序结果。</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11</w:t>
      </w:r>
      <w:r>
        <w:rPr>
          <w:rFonts w:ascii="仿宋" w:hAnsi="仿宋" w:eastAsia="仿宋"/>
          <w:sz w:val="21"/>
          <w:szCs w:val="21"/>
        </w:rPr>
        <w:t>.全年可接受样品测序，并上门取货。</w:t>
      </w:r>
    </w:p>
    <w:p>
      <w:pPr>
        <w:pStyle w:val="6"/>
        <w:spacing w:line="360" w:lineRule="auto"/>
        <w:ind w:firstLine="482"/>
        <w:contextualSpacing/>
        <w:rPr>
          <w:rFonts w:ascii="仿宋" w:hAnsi="仿宋" w:eastAsia="仿宋"/>
          <w:b/>
          <w:sz w:val="21"/>
          <w:szCs w:val="21"/>
        </w:rPr>
      </w:pPr>
      <w:r>
        <w:rPr>
          <w:rFonts w:hint="eastAsia" w:ascii="仿宋" w:hAnsi="仿宋" w:eastAsia="仿宋"/>
          <w:sz w:val="21"/>
          <w:szCs w:val="21"/>
        </w:rPr>
        <w:t>★</w:t>
      </w:r>
      <w:r>
        <w:rPr>
          <w:rFonts w:ascii="仿宋" w:hAnsi="仿宋" w:eastAsia="仿宋"/>
          <w:sz w:val="21"/>
          <w:szCs w:val="21"/>
        </w:rPr>
        <w:t>1</w:t>
      </w:r>
      <w:r>
        <w:rPr>
          <w:rFonts w:hint="eastAsia" w:ascii="仿宋" w:hAnsi="仿宋" w:eastAsia="仿宋"/>
          <w:sz w:val="21"/>
          <w:szCs w:val="21"/>
        </w:rPr>
        <w:t>2.</w:t>
      </w:r>
      <w:r>
        <w:rPr>
          <w:rFonts w:ascii="仿宋" w:hAnsi="仿宋" w:eastAsia="仿宋"/>
          <w:sz w:val="21"/>
          <w:szCs w:val="21"/>
        </w:rPr>
        <w:t>结果反馈：</w:t>
      </w:r>
      <w:r>
        <w:rPr>
          <w:rFonts w:ascii="仿宋" w:hAnsi="仿宋" w:eastAsia="仿宋"/>
          <w:b/>
          <w:sz w:val="21"/>
          <w:szCs w:val="21"/>
        </w:rPr>
        <w:t>投标人需提供承诺函并加盖公章。</w:t>
      </w:r>
    </w:p>
    <w:p>
      <w:pPr>
        <w:pStyle w:val="6"/>
        <w:spacing w:line="360" w:lineRule="auto"/>
        <w:ind w:firstLine="482"/>
        <w:contextualSpacing/>
        <w:rPr>
          <w:rFonts w:ascii="仿宋" w:hAnsi="仿宋" w:eastAsia="仿宋"/>
          <w:sz w:val="21"/>
          <w:szCs w:val="21"/>
        </w:rPr>
      </w:pPr>
      <w:r>
        <w:rPr>
          <w:rFonts w:ascii="仿宋" w:hAnsi="仿宋" w:eastAsia="仿宋"/>
          <w:sz w:val="21"/>
          <w:szCs w:val="21"/>
        </w:rPr>
        <w:t>（1）Abi格式原始测序结果、序列拼接过程文件和序列拼接结果（FASTA格式）等；</w:t>
      </w:r>
    </w:p>
    <w:p>
      <w:pPr>
        <w:pStyle w:val="6"/>
        <w:spacing w:line="360" w:lineRule="auto"/>
        <w:ind w:firstLine="482"/>
        <w:contextualSpacing/>
        <w:rPr>
          <w:rFonts w:ascii="仿宋" w:hAnsi="仿宋" w:eastAsia="仿宋"/>
          <w:sz w:val="21"/>
          <w:szCs w:val="21"/>
        </w:rPr>
      </w:pPr>
      <w:r>
        <w:rPr>
          <w:rFonts w:ascii="仿宋" w:hAnsi="仿宋" w:eastAsia="仿宋"/>
          <w:sz w:val="21"/>
          <w:szCs w:val="21"/>
        </w:rPr>
        <w:t>（2）序列以Abi格式原始图谱文件方式反馈；</w:t>
      </w:r>
    </w:p>
    <w:p>
      <w:pPr>
        <w:pStyle w:val="6"/>
        <w:spacing w:line="360" w:lineRule="auto"/>
        <w:ind w:firstLine="482"/>
        <w:contextualSpacing/>
        <w:rPr>
          <w:rFonts w:ascii="仿宋" w:hAnsi="仿宋" w:eastAsia="仿宋"/>
          <w:sz w:val="21"/>
          <w:szCs w:val="21"/>
        </w:rPr>
      </w:pPr>
      <w:r>
        <w:rPr>
          <w:rFonts w:ascii="仿宋" w:hAnsi="仿宋" w:eastAsia="仿宋"/>
          <w:sz w:val="21"/>
          <w:szCs w:val="21"/>
        </w:rPr>
        <w:t>（3）电泳图。</w:t>
      </w:r>
    </w:p>
    <w:p>
      <w:pPr>
        <w:pStyle w:val="6"/>
        <w:spacing w:line="360" w:lineRule="auto"/>
        <w:ind w:firstLine="482"/>
        <w:contextualSpacing/>
        <w:rPr>
          <w:rFonts w:ascii="仿宋" w:hAnsi="仿宋" w:eastAsia="仿宋"/>
          <w:b/>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2包 测试化验加工委托服务2</w:t>
      </w:r>
    </w:p>
    <w:p>
      <w:pPr>
        <w:pStyle w:val="6"/>
        <w:spacing w:line="360" w:lineRule="auto"/>
        <w:ind w:firstLine="482"/>
        <w:contextualSpacing/>
        <w:rPr>
          <w:rFonts w:ascii="仿宋" w:hAnsi="仿宋" w:eastAsia="仿宋"/>
          <w:b/>
          <w:sz w:val="21"/>
        </w:rPr>
      </w:pPr>
      <w:r>
        <w:rPr>
          <w:rFonts w:hint="eastAsia" w:ascii="仿宋" w:hAnsi="仿宋" w:eastAsia="仿宋"/>
          <w:b/>
          <w:sz w:val="21"/>
        </w:rPr>
        <w:t>（一）委托服务</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2"/>
        <w:gridCol w:w="1532"/>
        <w:gridCol w:w="1560"/>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b/>
                <w:bCs/>
                <w:kern w:val="0"/>
                <w:szCs w:val="21"/>
              </w:rPr>
            </w:pPr>
            <w:r>
              <w:rPr>
                <w:rFonts w:hint="eastAsia" w:ascii="仿宋" w:hAnsi="仿宋" w:eastAsia="仿宋" w:cs="宋体"/>
                <w:b/>
                <w:bCs/>
                <w:kern w:val="0"/>
                <w:szCs w:val="21"/>
              </w:rPr>
              <w:t>委托服务明细</w:t>
            </w:r>
          </w:p>
        </w:tc>
        <w:tc>
          <w:tcPr>
            <w:tcW w:w="899" w:type="pct"/>
            <w:noWrap/>
            <w:vAlign w:val="center"/>
          </w:tcPr>
          <w:p>
            <w:pPr>
              <w:widowControl/>
              <w:spacing w:line="276" w:lineRule="auto"/>
              <w:contextualSpacing/>
              <w:jc w:val="center"/>
              <w:rPr>
                <w:rFonts w:ascii="仿宋" w:hAnsi="仿宋" w:eastAsia="仿宋" w:cs="宋体"/>
                <w:b/>
                <w:bCs/>
                <w:kern w:val="0"/>
                <w:szCs w:val="21"/>
              </w:rPr>
            </w:pPr>
            <w:r>
              <w:rPr>
                <w:rFonts w:hint="eastAsia" w:ascii="仿宋" w:hAnsi="仿宋" w:eastAsia="仿宋" w:cs="宋体"/>
                <w:b/>
                <w:kern w:val="0"/>
                <w:szCs w:val="21"/>
              </w:rPr>
              <w:t>单位</w:t>
            </w:r>
          </w:p>
        </w:tc>
        <w:tc>
          <w:tcPr>
            <w:tcW w:w="915" w:type="pct"/>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数量</w:t>
            </w:r>
          </w:p>
        </w:tc>
        <w:tc>
          <w:tcPr>
            <w:tcW w:w="1360" w:type="pct"/>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单价限价（人民币元）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代谢组</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25</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单细胞测序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36</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蛋白组</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20</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高通量核糖体测序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12</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宏基因组测序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300</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基因组完成图</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菌株</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20</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甲基化测序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50</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空间转录组测序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全基因组测序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30</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全外显子测序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60</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三代16S测序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100</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三代全基因组测序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12,500.00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三代全长转录组测序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6"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转录组测序</w:t>
            </w:r>
          </w:p>
        </w:tc>
        <w:tc>
          <w:tcPr>
            <w:tcW w:w="899" w:type="pct"/>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300</w:t>
            </w:r>
          </w:p>
        </w:tc>
        <w:tc>
          <w:tcPr>
            <w:tcW w:w="1360" w:type="pct"/>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500.00</w:t>
            </w:r>
          </w:p>
        </w:tc>
      </w:tr>
    </w:tbl>
    <w:p>
      <w:pPr>
        <w:spacing w:line="360" w:lineRule="auto"/>
        <w:contextualSpacing/>
        <w:rPr>
          <w:rFonts w:ascii="仿宋" w:hAnsi="仿宋" w:eastAsia="仿宋" w:cs="仿宋"/>
          <w:b/>
          <w:bCs/>
          <w:szCs w:val="21"/>
        </w:rPr>
      </w:pPr>
      <w:r>
        <w:rPr>
          <w:rFonts w:hint="eastAsia" w:ascii="仿宋" w:hAnsi="仿宋" w:eastAsia="仿宋" w:cs="仿宋"/>
          <w:b/>
          <w:bCs/>
          <w:szCs w:val="21"/>
        </w:rPr>
        <w:t>注：1）投标人所报委托服务明细单价不能超过上述单价限价，否则按废标处理。</w:t>
      </w:r>
    </w:p>
    <w:p>
      <w:pPr>
        <w:pStyle w:val="6"/>
        <w:spacing w:line="360" w:lineRule="auto"/>
        <w:ind w:firstLine="482"/>
        <w:contextualSpacing/>
        <w:rPr>
          <w:rFonts w:ascii="仿宋" w:hAnsi="仿宋" w:eastAsia="仿宋"/>
          <w:b/>
          <w:sz w:val="21"/>
        </w:rPr>
      </w:pPr>
      <w:r>
        <w:rPr>
          <w:rFonts w:hint="eastAsia" w:ascii="仿宋" w:hAnsi="仿宋" w:eastAsia="仿宋" w:cs="仿宋"/>
          <w:b/>
          <w:bCs/>
          <w:sz w:val="21"/>
          <w:szCs w:val="21"/>
        </w:rPr>
        <w:t>2）投标人所报数量不能低于上述委托服务中列明的数量，否则按废标处理。</w:t>
      </w:r>
    </w:p>
    <w:p>
      <w:pPr>
        <w:pStyle w:val="6"/>
        <w:spacing w:line="360" w:lineRule="auto"/>
        <w:ind w:firstLine="482"/>
        <w:contextualSpacing/>
        <w:rPr>
          <w:rFonts w:ascii="仿宋" w:hAnsi="仿宋" w:eastAsia="仿宋"/>
          <w:b/>
        </w:rPr>
      </w:pPr>
      <w:r>
        <w:rPr>
          <w:rFonts w:hint="eastAsia" w:ascii="仿宋" w:hAnsi="仿宋" w:eastAsia="仿宋"/>
          <w:b/>
          <w:sz w:val="21"/>
          <w:szCs w:val="21"/>
        </w:rPr>
        <w:t>（二）商务要求</w:t>
      </w:r>
    </w:p>
    <w:p>
      <w:pPr>
        <w:pStyle w:val="6"/>
        <w:spacing w:line="360" w:lineRule="auto"/>
        <w:ind w:firstLine="482"/>
        <w:contextualSpacing/>
        <w:rPr>
          <w:rFonts w:ascii="仿宋" w:hAnsi="仿宋" w:eastAsia="仿宋"/>
          <w:sz w:val="21"/>
        </w:rPr>
      </w:pPr>
      <w:r>
        <w:rPr>
          <w:rFonts w:hint="eastAsia" w:ascii="仿宋" w:hAnsi="仿宋" w:eastAsia="仿宋"/>
          <w:sz w:val="21"/>
        </w:rPr>
        <w:t>1</w:t>
      </w:r>
      <w:r>
        <w:rPr>
          <w:rFonts w:ascii="仿宋" w:hAnsi="仿宋" w:eastAsia="仿宋"/>
          <w:sz w:val="21"/>
        </w:rPr>
        <w:t>.具有数据分析团队和服务器集群分析平台，服务器内存≥5T</w:t>
      </w:r>
      <w:r>
        <w:rPr>
          <w:rFonts w:hint="eastAsia" w:ascii="仿宋" w:hAnsi="仿宋" w:eastAsia="仿宋"/>
          <w:sz w:val="21"/>
        </w:rPr>
        <w:t>B</w:t>
      </w:r>
      <w:r>
        <w:rPr>
          <w:rFonts w:ascii="仿宋" w:hAnsi="仿宋" w:eastAsia="仿宋"/>
          <w:sz w:val="21"/>
        </w:rPr>
        <w:t>，服务器</w:t>
      </w:r>
      <w:r>
        <w:rPr>
          <w:rFonts w:hint="eastAsia" w:ascii="仿宋" w:hAnsi="仿宋" w:eastAsia="仿宋"/>
          <w:sz w:val="21"/>
        </w:rPr>
        <w:t>总</w:t>
      </w:r>
      <w:r>
        <w:rPr>
          <w:rFonts w:ascii="仿宋" w:hAnsi="仿宋" w:eastAsia="仿宋"/>
          <w:sz w:val="21"/>
        </w:rPr>
        <w:t>储存容量≥1PB储存</w:t>
      </w:r>
      <w:r>
        <w:rPr>
          <w:rFonts w:hint="eastAsia" w:ascii="仿宋" w:hAnsi="仿宋" w:eastAsia="仿宋"/>
          <w:sz w:val="21"/>
        </w:rPr>
        <w:t>（可用存储≥800TB）</w:t>
      </w:r>
      <w:r>
        <w:rPr>
          <w:rFonts w:ascii="仿宋" w:hAnsi="仿宋" w:eastAsia="仿宋"/>
          <w:sz w:val="21"/>
        </w:rPr>
        <w:t>；</w:t>
      </w:r>
    </w:p>
    <w:p>
      <w:pPr>
        <w:pStyle w:val="6"/>
        <w:spacing w:line="360" w:lineRule="auto"/>
        <w:ind w:firstLine="482"/>
        <w:contextualSpacing/>
        <w:rPr>
          <w:rFonts w:ascii="仿宋" w:hAnsi="仿宋" w:eastAsia="仿宋"/>
          <w:sz w:val="21"/>
        </w:rPr>
      </w:pPr>
      <w:r>
        <w:rPr>
          <w:rFonts w:hint="eastAsia" w:ascii="仿宋" w:hAnsi="仿宋" w:eastAsia="仿宋"/>
          <w:sz w:val="21"/>
        </w:rPr>
        <w:t>2</w:t>
      </w:r>
      <w:r>
        <w:rPr>
          <w:rFonts w:ascii="仿宋" w:hAnsi="仿宋" w:eastAsia="仿宋"/>
          <w:sz w:val="21"/>
        </w:rPr>
        <w:t>.</w:t>
      </w:r>
      <w:r>
        <w:rPr>
          <w:rFonts w:hint="eastAsia" w:ascii="仿宋" w:hAnsi="仿宋" w:eastAsia="仿宋"/>
          <w:sz w:val="21"/>
        </w:rPr>
        <w:t>投标人拥有或可合法适用的、满足本项目需求的独立分子生物学实验室；</w:t>
      </w:r>
    </w:p>
    <w:p>
      <w:pPr>
        <w:pStyle w:val="6"/>
        <w:spacing w:line="360" w:lineRule="auto"/>
        <w:ind w:firstLine="482"/>
        <w:contextualSpacing/>
        <w:rPr>
          <w:rFonts w:ascii="仿宋" w:hAnsi="仿宋" w:eastAsia="仿宋"/>
          <w:sz w:val="21"/>
        </w:rPr>
      </w:pPr>
      <w:r>
        <w:rPr>
          <w:rFonts w:hint="eastAsia" w:ascii="仿宋" w:hAnsi="仿宋" w:eastAsia="仿宋"/>
          <w:sz w:val="21"/>
        </w:rPr>
        <w:t>3</w:t>
      </w:r>
      <w:r>
        <w:rPr>
          <w:rFonts w:ascii="仿宋" w:hAnsi="仿宋" w:eastAsia="仿宋"/>
          <w:sz w:val="21"/>
        </w:rPr>
        <w:t>.</w:t>
      </w:r>
      <w:r>
        <w:rPr>
          <w:rFonts w:hint="eastAsia" w:ascii="仿宋" w:hAnsi="仿宋" w:eastAsia="仿宋"/>
          <w:sz w:val="21"/>
        </w:rPr>
        <w:t>投标人具有线上分析平台；</w:t>
      </w:r>
    </w:p>
    <w:p>
      <w:pPr>
        <w:pStyle w:val="6"/>
        <w:spacing w:line="360" w:lineRule="auto"/>
        <w:ind w:firstLine="482"/>
        <w:contextualSpacing/>
        <w:rPr>
          <w:rFonts w:ascii="仿宋" w:hAnsi="仿宋" w:eastAsia="仿宋"/>
          <w:sz w:val="21"/>
        </w:rPr>
      </w:pPr>
      <w:r>
        <w:rPr>
          <w:rFonts w:hint="eastAsia" w:ascii="仿宋" w:hAnsi="仿宋" w:eastAsia="仿宋"/>
          <w:sz w:val="21"/>
        </w:rPr>
        <w:t>4.投入具备</w:t>
      </w:r>
      <w:bookmarkStart w:id="20" w:name="OLE_LINK34"/>
      <w:r>
        <w:rPr>
          <w:rFonts w:hint="eastAsia" w:ascii="仿宋" w:hAnsi="仿宋" w:eastAsia="仿宋"/>
          <w:sz w:val="21"/>
        </w:rPr>
        <w:t>HiFi长读长测序能力的三代进口或国产测序平台等</w:t>
      </w:r>
      <w:bookmarkEnd w:id="20"/>
      <w:r>
        <w:rPr>
          <w:rFonts w:hint="eastAsia" w:ascii="仿宋" w:hAnsi="仿宋" w:eastAsia="仿宋"/>
          <w:sz w:val="21"/>
        </w:rPr>
        <w:t>不低于3台；</w:t>
      </w:r>
    </w:p>
    <w:p>
      <w:pPr>
        <w:pStyle w:val="6"/>
        <w:spacing w:line="360" w:lineRule="auto"/>
        <w:ind w:firstLine="482"/>
        <w:contextualSpacing/>
        <w:rPr>
          <w:rFonts w:ascii="仿宋" w:hAnsi="仿宋" w:eastAsia="仿宋"/>
          <w:sz w:val="21"/>
        </w:rPr>
      </w:pPr>
      <w:r>
        <w:rPr>
          <w:rFonts w:hint="eastAsia" w:ascii="仿宋" w:hAnsi="仿宋" w:eastAsia="仿宋"/>
          <w:sz w:val="21"/>
        </w:rPr>
        <w:t>5.投入</w:t>
      </w:r>
      <w:bookmarkStart w:id="21" w:name="OLE_LINK36"/>
      <w:bookmarkStart w:id="22" w:name="OLE_LINK37"/>
      <w:r>
        <w:rPr>
          <w:rFonts w:hint="eastAsia" w:ascii="仿宋" w:hAnsi="仿宋" w:eastAsia="仿宋"/>
          <w:sz w:val="21"/>
        </w:rPr>
        <w:t>进口</w:t>
      </w:r>
      <w:bookmarkStart w:id="23" w:name="OLE_LINK41"/>
      <w:r>
        <w:rPr>
          <w:rFonts w:hint="eastAsia" w:ascii="仿宋" w:hAnsi="仿宋" w:eastAsia="仿宋"/>
          <w:sz w:val="21"/>
        </w:rPr>
        <w:t>平台或国产测序平台满足二代测序</w:t>
      </w:r>
      <w:bookmarkEnd w:id="21"/>
      <w:bookmarkEnd w:id="22"/>
      <w:bookmarkEnd w:id="23"/>
      <w:r>
        <w:rPr>
          <w:rFonts w:hint="eastAsia" w:ascii="仿宋" w:hAnsi="仿宋" w:eastAsia="仿宋"/>
          <w:sz w:val="21"/>
        </w:rPr>
        <w:t>或单细胞和空间技术平台，测序模式满足PE150双端测序的需求，不低于5台；</w:t>
      </w:r>
    </w:p>
    <w:p>
      <w:pPr>
        <w:pStyle w:val="6"/>
        <w:spacing w:line="360" w:lineRule="auto"/>
        <w:ind w:firstLine="482"/>
        <w:contextualSpacing/>
        <w:rPr>
          <w:rFonts w:ascii="仿宋" w:hAnsi="仿宋" w:eastAsia="仿宋"/>
          <w:sz w:val="21"/>
        </w:rPr>
      </w:pPr>
      <w:r>
        <w:rPr>
          <w:rFonts w:hint="eastAsia" w:ascii="仿宋" w:hAnsi="仿宋" w:eastAsia="仿宋"/>
          <w:sz w:val="21"/>
        </w:rPr>
        <w:t>6</w:t>
      </w:r>
      <w:r>
        <w:rPr>
          <w:rFonts w:ascii="仿宋" w:hAnsi="仿宋" w:eastAsia="仿宋"/>
          <w:sz w:val="21"/>
        </w:rPr>
        <w:t>.</w:t>
      </w:r>
      <w:r>
        <w:rPr>
          <w:rFonts w:hint="eastAsia" w:ascii="仿宋" w:hAnsi="仿宋" w:eastAsia="仿宋"/>
          <w:sz w:val="21"/>
        </w:rPr>
        <w:t>投标人提供项目实施和技术方案。方案细致完整、合理严谨，完全符合项目实际需求，可操作性强；</w:t>
      </w:r>
    </w:p>
    <w:p>
      <w:pPr>
        <w:pStyle w:val="6"/>
        <w:spacing w:line="360" w:lineRule="auto"/>
        <w:ind w:firstLine="482"/>
        <w:contextualSpacing/>
        <w:rPr>
          <w:rFonts w:ascii="仿宋" w:hAnsi="仿宋" w:eastAsia="仿宋"/>
          <w:sz w:val="21"/>
        </w:rPr>
      </w:pPr>
      <w:r>
        <w:rPr>
          <w:rFonts w:hint="eastAsia" w:ascii="仿宋" w:hAnsi="仿宋" w:eastAsia="仿宋"/>
          <w:sz w:val="21"/>
        </w:rPr>
        <w:t>7.投标人提供的人员配置方案，服务团队中项目负责人持有生物专业类相关高级职称证书，服务团队中项目成员（除项目负责人以外）持有科学研究专业职称证书；项目实施团队人员配备齐全，包括整个项目实施过程中各个环节的具体执行人员。</w:t>
      </w:r>
    </w:p>
    <w:p>
      <w:pPr>
        <w:pStyle w:val="6"/>
        <w:spacing w:line="360" w:lineRule="auto"/>
        <w:ind w:firstLine="482"/>
        <w:contextualSpacing/>
        <w:rPr>
          <w:rFonts w:ascii="仿宋" w:hAnsi="仿宋" w:eastAsia="仿宋"/>
          <w:sz w:val="21"/>
        </w:rPr>
      </w:pPr>
      <w:r>
        <w:rPr>
          <w:rFonts w:hint="eastAsia" w:ascii="仿宋" w:hAnsi="仿宋" w:eastAsia="仿宋"/>
          <w:sz w:val="21"/>
        </w:rPr>
        <w:t>8.投标人提供售后服务响应时间保证在24小时内，有完善的售后及应急服务方案针对本项目制定详细的培训计划，保证采购人充分理解报告中的数据和分析结果。</w:t>
      </w:r>
    </w:p>
    <w:p>
      <w:pPr>
        <w:pStyle w:val="6"/>
        <w:spacing w:line="360" w:lineRule="auto"/>
        <w:ind w:firstLine="482"/>
        <w:contextualSpacing/>
        <w:rPr>
          <w:rFonts w:ascii="仿宋" w:hAnsi="仿宋" w:eastAsia="仿宋"/>
          <w:sz w:val="21"/>
        </w:rPr>
      </w:pPr>
      <w:r>
        <w:rPr>
          <w:rFonts w:hint="eastAsia" w:ascii="仿宋" w:hAnsi="仿宋" w:eastAsia="仿宋"/>
          <w:sz w:val="21"/>
        </w:rPr>
        <w:t>9.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contextualSpacing/>
        <w:rPr>
          <w:rFonts w:ascii="仿宋" w:hAnsi="仿宋" w:eastAsia="仿宋"/>
          <w:sz w:val="21"/>
        </w:rPr>
      </w:pPr>
      <w:r>
        <w:rPr>
          <w:rFonts w:hint="eastAsia" w:ascii="仿宋" w:hAnsi="仿宋" w:eastAsia="仿宋"/>
          <w:sz w:val="21"/>
        </w:rPr>
        <w:t>10.本项目产生的检测数据、分析结果及相关研究成果的知识产权归采购人所有。</w:t>
      </w:r>
    </w:p>
    <w:p>
      <w:pPr>
        <w:pStyle w:val="6"/>
        <w:spacing w:line="360" w:lineRule="auto"/>
        <w:ind w:firstLine="482"/>
        <w:contextualSpacing/>
        <w:rPr>
          <w:rFonts w:ascii="仿宋" w:hAnsi="仿宋" w:eastAsia="仿宋"/>
          <w:sz w:val="21"/>
        </w:rPr>
      </w:pPr>
      <w:r>
        <w:rPr>
          <w:rFonts w:hint="eastAsia" w:ascii="仿宋" w:hAnsi="仿宋" w:eastAsia="仿宋"/>
          <w:sz w:val="21"/>
        </w:rPr>
        <w:t>11.投标人应建立样品接收、登记、储存、处理、销毁的全流程管理制度，确保样品可追溯、可核查。</w:t>
      </w:r>
      <w:bookmarkStart w:id="24" w:name="OLE_LINK119"/>
      <w:bookmarkStart w:id="25" w:name="OLE_LINK118"/>
      <w:r>
        <w:rPr>
          <w:rFonts w:hint="eastAsia" w:ascii="仿宋" w:hAnsi="仿宋" w:eastAsia="仿宋"/>
          <w:sz w:val="21"/>
        </w:rPr>
        <w:t>需安排专人上门接收样品，并提供取样人员名单及联系方式。</w:t>
      </w:r>
      <w:bookmarkEnd w:id="24"/>
      <w:bookmarkEnd w:id="25"/>
    </w:p>
    <w:p>
      <w:pPr>
        <w:pStyle w:val="6"/>
        <w:spacing w:line="360" w:lineRule="auto"/>
        <w:ind w:firstLine="482"/>
        <w:contextualSpacing/>
        <w:rPr>
          <w:rFonts w:ascii="仿宋" w:hAnsi="仿宋" w:eastAsia="仿宋"/>
          <w:b/>
          <w:sz w:val="21"/>
        </w:rPr>
      </w:pPr>
      <w:r>
        <w:rPr>
          <w:rFonts w:hint="eastAsia" w:ascii="仿宋" w:hAnsi="仿宋" w:eastAsia="仿宋"/>
          <w:b/>
          <w:sz w:val="21"/>
        </w:rPr>
        <w:t>（三）技术要求</w:t>
      </w:r>
    </w:p>
    <w:p>
      <w:pPr>
        <w:spacing w:line="360" w:lineRule="auto"/>
        <w:ind w:firstLine="440" w:firstLineChars="200"/>
        <w:rPr>
          <w:rFonts w:ascii="仿宋" w:hAnsi="仿宋" w:eastAsia="仿宋"/>
          <w:sz w:val="22"/>
          <w:szCs w:val="28"/>
        </w:rPr>
      </w:pPr>
      <w:r>
        <w:rPr>
          <w:rFonts w:hint="eastAsia" w:ascii="仿宋" w:hAnsi="仿宋" w:eastAsia="仿宋"/>
          <w:sz w:val="22"/>
          <w:szCs w:val="28"/>
        </w:rPr>
        <w:t>1.代谢组：对25例样本开展代谢组检测及分析。基于LC-MS技术，无偏向性的检测样本所有小分子代谢物，通过生信分析筛选差异代谢物，对差异代谢物进行通路分析。具有数据分析团队和服务器集群分析平台，拥有LC-MS质谱平台实验能力，能够独立完成代谢组检测、数据质控及分析工作。25天完成代谢组学检测及质控分析工作。</w:t>
      </w:r>
    </w:p>
    <w:p>
      <w:pPr>
        <w:spacing w:line="360" w:lineRule="auto"/>
        <w:ind w:firstLine="440" w:firstLineChars="200"/>
        <w:rPr>
          <w:rFonts w:ascii="仿宋" w:hAnsi="仿宋" w:eastAsia="仿宋"/>
          <w:sz w:val="22"/>
          <w:szCs w:val="28"/>
        </w:rPr>
      </w:pPr>
      <w:r>
        <w:rPr>
          <w:rFonts w:hint="eastAsia" w:ascii="仿宋" w:hAnsi="仿宋" w:eastAsia="仿宋"/>
          <w:sz w:val="22"/>
          <w:szCs w:val="28"/>
        </w:rPr>
        <w:t>2.单细胞测序：对36例组织样本开展单细胞转录组测序及分析。利用单细胞技术和二代测序平台（进口平台或者国产测序平台），完成组织样品的单细胞建库测序，测序模式为：PE150，交付数据为Fastq格式原始测序数据分析的result结果数据文件。每个样本数据量不低于目标数据量的95%。分析内容包括：测序数据质控、转录本定量、基因表达矩阵生成（原始矩阵和标准化矩阵）、数据过滤与标准化、细胞聚类与注释、差异表达分析等。每个样本细胞捕获数≥8000个、每个细胞中位基因数≥1000（质检符合上机标准的样本）。样本质检标准：细胞总量≥6w，细胞活率≥75%、碎片率≤30%、团率≤30%、细胞悬液浓度：700-1200个/μl、细胞悬液中不含钙镁等影响反转录效率的离子。测序数据量：100G/样、测序数据质量Q30≥85%。对于质检合格样本，数据未达到承诺指标或建库失败的的样本，应提供免费重做一次或全额退款保障。提供不少于20天的数据存储服务，并提供双备份存储。样本质检合格后，35天内完成样本解离、单细胞捕获标记、文库构建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3.蛋白组：</w:t>
      </w:r>
      <w:r>
        <w:rPr>
          <w:rFonts w:ascii="仿宋" w:hAnsi="仿宋" w:eastAsia="仿宋"/>
          <w:sz w:val="22"/>
          <w:szCs w:val="28"/>
        </w:rPr>
        <w:t>对</w:t>
      </w:r>
      <w:r>
        <w:rPr>
          <w:rFonts w:hint="eastAsia" w:ascii="仿宋" w:hAnsi="仿宋" w:eastAsia="仿宋"/>
          <w:sz w:val="22"/>
          <w:szCs w:val="28"/>
        </w:rPr>
        <w:t>20例样本开展蛋白组学检测及分析，基于高分辨质谱平台DIA扫描方式得到下机谱图，进行搜库解谱、数据质控，完成蛋白质鉴定与功能注释，以及蛋白质的定量差异分析，针对筛选出来的差异蛋白进行GO、KEGG功能富集分析和互作网络分析。具有数据分析团队和服务器集群分析平台，拥有高分辨质谱仪实验能力，能够独立完成蛋白组检测及数据质控/分析工作。样本质检合格后，28天完成蛋白组检测及质控分析工作。</w:t>
      </w:r>
    </w:p>
    <w:p>
      <w:pPr>
        <w:spacing w:line="360" w:lineRule="auto"/>
        <w:ind w:firstLine="440" w:firstLineChars="200"/>
        <w:rPr>
          <w:rFonts w:ascii="仿宋" w:hAnsi="仿宋" w:eastAsia="仿宋"/>
          <w:sz w:val="22"/>
          <w:szCs w:val="28"/>
        </w:rPr>
      </w:pPr>
      <w:r>
        <w:rPr>
          <w:rFonts w:hint="eastAsia" w:ascii="仿宋" w:hAnsi="仿宋" w:eastAsia="仿宋"/>
          <w:sz w:val="22"/>
          <w:szCs w:val="28"/>
        </w:rPr>
        <w:t>4.高通量核糖体测序：对12例样本开展高通量核糖体测序。并利用二代测序平台（进口平台或者国产测序平台）完成文库的测序，测序模式为PE150，总数据量不低于目标数据量的95%。需提供翻译水平分析、差异分析、功能分析、ORF分析及密码子分析等。样本质检合格后，65天内完成文库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5.宏基因组测序：对300例样本开展二代宏基因组测序及分析。并利用二代测序平台（进口平台或者国产测序平台）完成文库的测序，数据质量Q30＞85%，测序模式为PE150，总数据量不低于10G。分析内容包括：测序数据评估、宏基因组组装、基因预测及丰度分析、物种注释和多样性分析、功能注释和多样性分析。样本质检合格后，55天内完成文库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6.甲基化测序：对50例样本开展甲基化测序。并利用二代测序平台（进口平台或者国产测序平台）完成文库的测序，数据质量Q30＞85%，测序模式为PE150，总数据量不低于目标数据量的95%。需提供甲基化位点分析、甲基化图谱分析、组间差异甲基化分析等。样本质检合格后，52天内完成文库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7.基因组完成图：对20例细菌样本开展细菌基因组完成图。并利用三代测序平台完成文库的测序，交付数据为HiFi Data，每个样本数据量不低于目标数据量的95%。分析内容包括：数据质控、基因组组装、基因组组分分析、基因功能注释。样本质检合格后，38天内完成文库构建测序、数据下机及标准分析。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8.空间转录组测序：对5例组织样本开展空间转录组测序及分析。利用空间转录组技术和二代测序平台（进口平台或者国产测序平台），完成组织样品的空间转录组建库测序，测序模式为：PE150，交付数据为Fastq格式原始测序数据分析的result结果数据文件。每个样本数据量不低于目标数据量的95%。分析内容包括：测序数据质控、转录本定量、组织图像与基因表达数据对齐、基因表达矩阵生成（2μm、8μm、16μm、cell bin）、数据过滤与标准化、空间聚类与分布可视化、空间表达谱分析等。10x Genomics Visium HD实验Protocol使用最新发布的Protocol 2.0开展实验，保证数据质量最优；支持FFPE样本和OCT包埋新鲜组织样本均可以进行H&amp;E染色和基因表达空间分析；组织捕获区域面积支持6.5×6.5mm</w:t>
      </w:r>
      <w:r>
        <w:rPr>
          <w:rFonts w:hint="eastAsia" w:ascii="宋体" w:hAnsi="宋体" w:cs="宋体"/>
          <w:sz w:val="22"/>
          <w:szCs w:val="28"/>
        </w:rPr>
        <w:t>²</w:t>
      </w:r>
      <w:r>
        <w:rPr>
          <w:rFonts w:hint="eastAsia" w:ascii="仿宋" w:hAnsi="仿宋" w:eastAsia="仿宋" w:cs="仿宋"/>
          <w:sz w:val="22"/>
          <w:szCs w:val="28"/>
        </w:rPr>
        <w:t>和</w:t>
      </w:r>
      <w:r>
        <w:rPr>
          <w:rFonts w:hint="eastAsia" w:ascii="仿宋" w:hAnsi="仿宋" w:eastAsia="仿宋"/>
          <w:sz w:val="22"/>
          <w:szCs w:val="28"/>
        </w:rPr>
        <w:t>11×11mm</w:t>
      </w:r>
      <w:r>
        <w:rPr>
          <w:rFonts w:hint="eastAsia" w:ascii="宋体" w:hAnsi="宋体" w:cs="宋体"/>
          <w:sz w:val="22"/>
          <w:szCs w:val="28"/>
        </w:rPr>
        <w:t>²</w:t>
      </w:r>
      <w:r>
        <w:rPr>
          <w:rFonts w:hint="eastAsia" w:ascii="仿宋" w:hAnsi="仿宋" w:eastAsia="仿宋" w:cs="仿宋"/>
          <w:sz w:val="22"/>
          <w:szCs w:val="28"/>
        </w:rPr>
        <w:t>；分析分辨率支持</w:t>
      </w:r>
      <w:r>
        <w:rPr>
          <w:rFonts w:hint="eastAsia" w:ascii="仿宋" w:hAnsi="仿宋" w:eastAsia="仿宋"/>
          <w:sz w:val="22"/>
          <w:szCs w:val="28"/>
        </w:rPr>
        <w:t>8um bin、16um bin和cell bin；切片厚度：OCT包埋组织新鲜样本（FF），切片厚度为10μm，FFPE样本切片厚度：5μm；RNA完整性要求：10x HD平台FF样本RIN值≥4、FFPE样本DV200值≥40%、RNA quantity per cell＞0.75pg、坏死或细胞有明显稀疏等异常区域＜1/4；提供拼片和脱片测序服务评估，高风险样本使用 10x推荐的Schott H-3D防脱玻片，排除可能导致实验失败的因素；测序数据量不低于100G/样（FFPE样本）或200G/样（FF样本）、测序数据质量Q30≥85%。提供不少于20天的数据存储服务，并提供双备份存储。样本质检合格后，45天内完成样本质检、HE染色、病理区域圈选、空间位置标记、mRNA捕获、文库构建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9.全基因组测序：对30例样本开展DNA测序。并利用二代测序平台（进口平台或者国产测序平台）完成文库的测序，数据质量Q30＞85%，测序模式为PE150，总数据量不低于目标数据量的95%。需提供变异检测及注释分析。样本质检合格后，30天内完成文库测序、数据下机及数据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10.全外显子测序</w:t>
      </w:r>
      <w:r>
        <w:rPr>
          <w:rFonts w:hint="eastAsia" w:ascii="仿宋" w:hAnsi="仿宋" w:eastAsia="仿宋"/>
          <w:sz w:val="22"/>
          <w:szCs w:val="28"/>
        </w:rPr>
        <w:tab/>
      </w:r>
      <w:r>
        <w:rPr>
          <w:rFonts w:hint="eastAsia" w:ascii="仿宋" w:hAnsi="仿宋" w:eastAsia="仿宋"/>
          <w:sz w:val="22"/>
          <w:szCs w:val="28"/>
        </w:rPr>
        <w:t>：对60例样本开展全外显子测序。并利用二代测序平台（进口平台或者国产测序平台）完成文库的测序，数据质量Q30＞85%，测序模式为PE150，总数据量不低于目标数据量的95%。需需提供变异检测及注释分析。样本质检合格后，28天内完成文库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11.三代16s测序</w:t>
      </w:r>
      <w:r>
        <w:rPr>
          <w:rFonts w:hint="eastAsia" w:ascii="仿宋" w:hAnsi="仿宋" w:eastAsia="仿宋"/>
          <w:sz w:val="22"/>
          <w:szCs w:val="28"/>
        </w:rPr>
        <w:tab/>
      </w:r>
      <w:r>
        <w:rPr>
          <w:rFonts w:hint="eastAsia" w:ascii="仿宋" w:hAnsi="仿宋" w:eastAsia="仿宋"/>
          <w:sz w:val="22"/>
          <w:szCs w:val="28"/>
        </w:rPr>
        <w:t>：对100例样本开展三代16S测序及分析。并利用三代测序平台完成文库的测序，交付数据为HiFi Data，每个样本数据量不低于目标数据量的95%。分析内容包括：物种注释、物种组成分析、物种多样性分析、组间物种差异分析、功能预测分析、环境因子分析等。样本质检合格后，30天内完成文库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12.三代全基因组测序：对5例样本开展三代全基因组测序。并利用三代测序平台完成文库的测序，交付数据为HiFi Data，每个样本数据量不低于目标数据量的95%。需提供变异检测及注释分析。样本质检合格后，28天内完成文库测序、数据下机及标准分析。</w:t>
      </w:r>
    </w:p>
    <w:p>
      <w:pPr>
        <w:spacing w:line="360" w:lineRule="auto"/>
        <w:ind w:firstLine="440" w:firstLineChars="200"/>
        <w:rPr>
          <w:rFonts w:ascii="仿宋" w:hAnsi="仿宋" w:eastAsia="仿宋"/>
          <w:sz w:val="22"/>
          <w:szCs w:val="28"/>
        </w:rPr>
      </w:pPr>
      <w:r>
        <w:rPr>
          <w:rFonts w:hint="eastAsia" w:ascii="仿宋" w:hAnsi="仿宋" w:eastAsia="仿宋"/>
          <w:sz w:val="22"/>
          <w:szCs w:val="28"/>
        </w:rPr>
        <w:t>13.三代全长转录组测序：对5例样本开展三代全长转录组测序。并利用三代测序平台完成文库的测序，交付数据为HiFi Data，每个样本数据量不低于目标数据量的95%。需提供结构分析、转录组定量分析、基因定量分析、以及差异转录本/基因分析等。样本质检合格后，40天内完成文库测序、数据下机及标准分析。</w:t>
      </w:r>
    </w:p>
    <w:p>
      <w:pPr>
        <w:spacing w:line="360" w:lineRule="auto"/>
        <w:ind w:firstLine="440" w:firstLineChars="200"/>
        <w:rPr>
          <w:rFonts w:ascii="仿宋" w:hAnsi="仿宋" w:eastAsia="仿宋"/>
          <w:b/>
          <w:sz w:val="18"/>
        </w:rPr>
      </w:pPr>
      <w:r>
        <w:rPr>
          <w:rFonts w:hint="eastAsia" w:ascii="仿宋" w:hAnsi="仿宋" w:eastAsia="仿宋"/>
          <w:sz w:val="22"/>
          <w:szCs w:val="28"/>
        </w:rPr>
        <w:t>14.转录组测序：对300例样本开展真核转录组测序及分析项目。并利用Illumina NovaSeq X Plus 平台完成文库的测序，数据质量Q30＞85%，测序模式为PE150，总数据量不低于6G（真核转录组交付6G数据量）。分析内容包括：测序质量评估、参考基因组比对、基因表达水平分析、基因差异表达分析、差异表达基因功能富集分析等。样本质检合格后，18天内完成文库测序、数据下机及标准分析。</w:t>
      </w:r>
    </w:p>
    <w:p>
      <w:pPr>
        <w:pStyle w:val="6"/>
        <w:spacing w:line="360" w:lineRule="auto"/>
        <w:ind w:firstLine="482"/>
        <w:contextualSpacing/>
        <w:jc w:val="center"/>
        <w:rPr>
          <w:rFonts w:ascii="仿宋" w:hAnsi="仿宋" w:eastAsia="仿宋"/>
          <w:b/>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3包 测试化验加工委托服务3</w:t>
      </w:r>
    </w:p>
    <w:p>
      <w:pPr>
        <w:pStyle w:val="6"/>
        <w:spacing w:line="360" w:lineRule="auto"/>
        <w:ind w:firstLine="482"/>
        <w:contextualSpacing/>
        <w:rPr>
          <w:rFonts w:ascii="仿宋" w:hAnsi="仿宋" w:eastAsia="仿宋"/>
          <w:b/>
          <w:sz w:val="21"/>
          <w:szCs w:val="21"/>
        </w:rPr>
      </w:pPr>
      <w:r>
        <w:rPr>
          <w:rFonts w:hint="eastAsia" w:ascii="仿宋" w:hAnsi="仿宋" w:eastAsia="仿宋"/>
          <w:b/>
          <w:sz w:val="21"/>
          <w:szCs w:val="21"/>
        </w:rPr>
        <w:t>（一）商务要求</w:t>
      </w:r>
    </w:p>
    <w:p>
      <w:pPr>
        <w:pStyle w:val="6"/>
        <w:spacing w:line="360" w:lineRule="auto"/>
        <w:ind w:firstLine="482"/>
        <w:contextualSpacing/>
        <w:rPr>
          <w:rFonts w:ascii="仿宋" w:hAnsi="仿宋" w:eastAsia="仿宋"/>
          <w:sz w:val="21"/>
        </w:rPr>
      </w:pPr>
      <w:r>
        <w:rPr>
          <w:rFonts w:hint="eastAsia" w:ascii="仿宋" w:hAnsi="仿宋" w:eastAsia="仿宋"/>
          <w:sz w:val="21"/>
        </w:rPr>
        <w:t>1.质量保证：</w:t>
      </w:r>
    </w:p>
    <w:p>
      <w:pPr>
        <w:pStyle w:val="6"/>
        <w:spacing w:line="360" w:lineRule="auto"/>
        <w:ind w:firstLine="482"/>
        <w:contextualSpacing/>
        <w:rPr>
          <w:rFonts w:ascii="仿宋" w:hAnsi="仿宋" w:eastAsia="仿宋"/>
          <w:sz w:val="21"/>
        </w:rPr>
      </w:pPr>
      <w:r>
        <w:rPr>
          <w:rFonts w:hint="eastAsia" w:ascii="仿宋" w:hAnsi="仿宋" w:eastAsia="仿宋"/>
          <w:sz w:val="21"/>
        </w:rPr>
        <w:t>自收到合格样品之日起30个工作日内完成检测并交付报告。质控在标准参考值范围内，批内精密度、批间精密度CV均小于15%。</w:t>
      </w:r>
    </w:p>
    <w:p>
      <w:pPr>
        <w:pStyle w:val="6"/>
        <w:spacing w:line="360" w:lineRule="auto"/>
        <w:ind w:firstLine="482"/>
        <w:contextualSpacing/>
        <w:rPr>
          <w:rFonts w:ascii="仿宋" w:hAnsi="仿宋" w:eastAsia="仿宋"/>
          <w:sz w:val="21"/>
        </w:rPr>
      </w:pPr>
      <w:r>
        <w:rPr>
          <w:rFonts w:hint="eastAsia" w:ascii="仿宋" w:hAnsi="仿宋" w:eastAsia="仿宋"/>
          <w:sz w:val="21"/>
        </w:rPr>
        <w:t>2.售后服务工作和提供技术保障：</w:t>
      </w:r>
    </w:p>
    <w:p>
      <w:pPr>
        <w:pStyle w:val="6"/>
        <w:spacing w:line="360" w:lineRule="auto"/>
        <w:ind w:firstLine="482"/>
        <w:contextualSpacing/>
        <w:rPr>
          <w:rFonts w:ascii="仿宋" w:hAnsi="仿宋" w:eastAsia="仿宋"/>
          <w:sz w:val="21"/>
        </w:rPr>
      </w:pPr>
      <w:r>
        <w:rPr>
          <w:rFonts w:hint="eastAsia" w:ascii="仿宋" w:hAnsi="仿宋" w:eastAsia="仿宋"/>
          <w:sz w:val="21"/>
        </w:rPr>
        <w:t>2.1向用户提供各种与服务相关的免费技术咨询服务，包括电话、邮件等方式。以最快速度做出反应，提供解决方案。</w:t>
      </w:r>
    </w:p>
    <w:p>
      <w:pPr>
        <w:pStyle w:val="6"/>
        <w:spacing w:line="360" w:lineRule="auto"/>
        <w:ind w:firstLine="482"/>
        <w:contextualSpacing/>
        <w:rPr>
          <w:rFonts w:ascii="仿宋" w:hAnsi="仿宋" w:eastAsia="仿宋"/>
          <w:sz w:val="21"/>
        </w:rPr>
      </w:pPr>
      <w:r>
        <w:rPr>
          <w:rFonts w:hint="eastAsia" w:ascii="仿宋" w:hAnsi="仿宋" w:eastAsia="仿宋"/>
          <w:sz w:val="21"/>
        </w:rPr>
        <w:t>2.2通过3种方式保障技术后援支持:远程支持采用电话指导或远程登录、电子邮件等方式提供技术支持，其他无法迅速解决的问题应在一周内解决或提出明确解决方案。</w:t>
      </w:r>
    </w:p>
    <w:p>
      <w:pPr>
        <w:pStyle w:val="6"/>
        <w:spacing w:line="360" w:lineRule="auto"/>
        <w:ind w:firstLine="482"/>
        <w:contextualSpacing/>
        <w:rPr>
          <w:rFonts w:ascii="仿宋" w:hAnsi="仿宋" w:eastAsia="仿宋"/>
          <w:sz w:val="21"/>
        </w:rPr>
      </w:pPr>
      <w:bookmarkStart w:id="26" w:name="OLE_LINK263"/>
      <w:bookmarkStart w:id="27" w:name="OLE_LINK264"/>
      <w:bookmarkStart w:id="28" w:name="OLE_LINK323"/>
      <w:r>
        <w:rPr>
          <w:rFonts w:hint="eastAsia" w:ascii="仿宋" w:hAnsi="仿宋" w:eastAsia="仿宋"/>
          <w:sz w:val="21"/>
        </w:rPr>
        <w:t>3.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contextualSpacing/>
        <w:rPr>
          <w:rFonts w:ascii="仿宋" w:hAnsi="仿宋" w:eastAsia="仿宋"/>
          <w:sz w:val="21"/>
        </w:rPr>
      </w:pPr>
      <w:r>
        <w:rPr>
          <w:rFonts w:hint="eastAsia" w:ascii="仿宋" w:hAnsi="仿宋" w:eastAsia="仿宋"/>
          <w:sz w:val="21"/>
        </w:rPr>
        <w:t>4.本项目产生的检测数据、分析结果及相关研究成果的知识产权归采购人所有。</w:t>
      </w:r>
    </w:p>
    <w:p>
      <w:pPr>
        <w:pStyle w:val="6"/>
        <w:spacing w:line="360" w:lineRule="auto"/>
        <w:ind w:firstLine="482"/>
        <w:contextualSpacing/>
        <w:rPr>
          <w:rFonts w:ascii="仿宋" w:hAnsi="仿宋" w:eastAsia="仿宋"/>
          <w:sz w:val="21"/>
        </w:rPr>
      </w:pPr>
      <w:r>
        <w:rPr>
          <w:rFonts w:hint="eastAsia" w:ascii="仿宋" w:hAnsi="仿宋" w:eastAsia="仿宋"/>
          <w:sz w:val="21"/>
        </w:rPr>
        <w:t>5.投标人应建立样品接收、登记、储存、处理、销毁的全流程管理制度，确保样品可追溯、可核查。</w:t>
      </w:r>
      <w:bookmarkEnd w:id="26"/>
      <w:bookmarkEnd w:id="27"/>
      <w:bookmarkEnd w:id="28"/>
      <w:r>
        <w:rPr>
          <w:rFonts w:hint="eastAsia" w:ascii="仿宋" w:hAnsi="仿宋" w:eastAsia="仿宋"/>
          <w:sz w:val="21"/>
        </w:rPr>
        <w:t>需安排专人上门接收样品，并提供取样人员名单及联系方式。</w:t>
      </w:r>
    </w:p>
    <w:p>
      <w:pPr>
        <w:pStyle w:val="6"/>
        <w:spacing w:line="360" w:lineRule="auto"/>
        <w:ind w:firstLine="482"/>
        <w:contextualSpacing/>
        <w:rPr>
          <w:rFonts w:ascii="仿宋" w:hAnsi="仿宋" w:eastAsia="仿宋"/>
          <w:b/>
          <w:sz w:val="21"/>
          <w:szCs w:val="21"/>
        </w:rPr>
      </w:pPr>
      <w:r>
        <w:rPr>
          <w:rFonts w:hint="eastAsia" w:ascii="仿宋" w:hAnsi="仿宋" w:eastAsia="仿宋"/>
          <w:b/>
          <w:sz w:val="21"/>
          <w:szCs w:val="21"/>
        </w:rPr>
        <w:t>（二）技术要求</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1、检测项目：血清全氟化合物检测</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1.1、代谢产物：33种全氟化合物：PFBA , PFPeA , PFHxA , PFHpA , PFOA , PFNA , PFDA , PFUdA , PFDoA , PFTrDA , PFTeDA , PFBS , PFPeS , L - PFHxS , br - PFHxS , PFHpS , L -33PFOS,6m- PFOS ,E3,4,5m- PFOS ,Em2- PFOS ,1m- PFOS , PFNS , PFDS , FOSA , N - MeFOSAA , N - EtFOSAA ,4:2FTS,6:2 FTS ,8:2FTS, HFPO - DA , ADONA ,6:2 CI - PFESA ,8:2CI- PFESA。</w:t>
      </w:r>
    </w:p>
    <w:p>
      <w:pPr>
        <w:pStyle w:val="6"/>
        <w:spacing w:line="360" w:lineRule="auto"/>
        <w:ind w:firstLine="482"/>
        <w:contextualSpacing/>
        <w:rPr>
          <w:rFonts w:ascii="仿宋" w:hAnsi="仿宋" w:eastAsia="仿宋" w:cs="宋体"/>
          <w:color w:val="FF0000"/>
          <w:kern w:val="0"/>
          <w:sz w:val="21"/>
          <w:szCs w:val="21"/>
        </w:rPr>
      </w:pPr>
      <w:r>
        <w:rPr>
          <w:rFonts w:hint="eastAsia" w:ascii="仿宋" w:hAnsi="仿宋" w:eastAsia="仿宋" w:cs="宋体"/>
          <w:color w:val="FF0000"/>
          <w:kern w:val="0"/>
          <w:sz w:val="21"/>
          <w:szCs w:val="21"/>
        </w:rPr>
        <w:t>1.2、检测方法：样本加入同位素内标后，采用固相萃取（SPE）进行前处理，包括酸化、活化、上样、淋洗、干燥及洗脱等步骤。洗脱液浓缩至近干后复溶，经离心去除杂质，取上清液用于液相色谱-串联质谱（LC–MS/MS）分析。</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1.3、样本类型：血清：200ul。</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1.4、检测样本量：100份。</w:t>
      </w:r>
    </w:p>
    <w:p>
      <w:pPr>
        <w:pStyle w:val="6"/>
        <w:spacing w:line="360" w:lineRule="auto"/>
        <w:ind w:firstLine="482"/>
        <w:contextualSpacing/>
        <w:rPr>
          <w:rFonts w:ascii="仿宋" w:hAnsi="仿宋" w:eastAsia="仿宋" w:cs="宋体"/>
          <w:color w:val="000000"/>
          <w:kern w:val="0"/>
          <w:sz w:val="21"/>
          <w:szCs w:val="21"/>
        </w:rPr>
      </w:pPr>
      <w:bookmarkStart w:id="29" w:name="OLE_LINK80"/>
      <w:bookmarkStart w:id="30" w:name="OLE_LINK81"/>
      <w:r>
        <w:rPr>
          <w:rFonts w:hint="eastAsia" w:ascii="仿宋" w:hAnsi="仿宋" w:eastAsia="仿宋" w:cs="宋体"/>
          <w:color w:val="000000"/>
          <w:kern w:val="0"/>
          <w:sz w:val="21"/>
          <w:szCs w:val="21"/>
        </w:rPr>
        <w:t>2、检测项目：尿液邻苯二甲酸酯检测</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2.1、代谢产物：7种酚类化合物：URXMBP ，URXMCP，URXMEP，URXMHP，URXMNP，URXMOP，URXMZP</w:t>
      </w:r>
    </w:p>
    <w:p>
      <w:pPr>
        <w:pStyle w:val="6"/>
        <w:spacing w:line="360" w:lineRule="auto"/>
        <w:ind w:firstLine="482"/>
        <w:contextualSpacing/>
        <w:rPr>
          <w:rFonts w:ascii="仿宋" w:hAnsi="仿宋" w:eastAsia="仿宋" w:cs="宋体"/>
          <w:color w:val="FF0000"/>
          <w:kern w:val="0"/>
          <w:sz w:val="21"/>
          <w:szCs w:val="21"/>
        </w:rPr>
      </w:pPr>
      <w:r>
        <w:rPr>
          <w:rFonts w:hint="eastAsia" w:ascii="仿宋" w:hAnsi="仿宋" w:eastAsia="仿宋" w:cs="宋体"/>
          <w:color w:val="FF0000"/>
          <w:kern w:val="0"/>
          <w:sz w:val="21"/>
          <w:szCs w:val="21"/>
        </w:rPr>
        <w:t>2.2、检测方法：尿液样本加入同位素内标后，经酶解后采用MAX固相萃取（SPE）小柱进行净化，包括小柱活化、上样、淋洗、干燥及洗脱等步骤。洗脱液经浓缩、复溶和离心后，取上清液用于液相色谱-串联质谱（LC–MS/MS）分析。</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2.3、样本类型：尿液：1ml。</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2.4、检测样本量：100份。</w:t>
      </w:r>
      <w:bookmarkEnd w:id="29"/>
      <w:bookmarkEnd w:id="30"/>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3、检测项目：尿液酚类化合物检测</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 xml:space="preserve">3.1、代谢产物：18种酚类化合物：methyl 4- hydroxybenzoate ( MeP ), ethyl 4- hydroxybenzoate ( EtP ), propyl 4- hydroxybenzoate ( PrP ), butyl 4- hydroxybenzoate ( BuP ), heptyl 4- hydroxybenzoate ( HeP ), BPA , bisphenol B ( BPB ), BPS , TCS , benzyl 4- hydroxybenzoate ( BzP ), </w:t>
      </w:r>
      <w:r>
        <w:rPr>
          <w:rFonts w:ascii="仿宋" w:hAnsi="仿宋" w:eastAsia="仿宋" w:cs="宋体"/>
          <w:color w:val="000000"/>
          <w:kern w:val="0"/>
          <w:sz w:val="21"/>
          <w:szCs w:val="21"/>
        </w:rPr>
        <w:t>bisphenol AF ( BPAF ),BPAP,bisphenol P ( BPP ), bisphenol Z ( BPZ ),2,4- dihydroxy benzophenone ( BP-1),2,20,4,40- tetrahydroxy benzophenone ( BP-2),2,20- dihydroxy -4- methoxybenzophenone ( BP-8),4- hydroxy benzophenone (4-HBP )。</w:t>
      </w:r>
    </w:p>
    <w:p>
      <w:pPr>
        <w:pStyle w:val="6"/>
        <w:spacing w:line="360" w:lineRule="auto"/>
        <w:ind w:firstLine="482"/>
        <w:contextualSpacing/>
        <w:rPr>
          <w:rFonts w:ascii="仿宋" w:hAnsi="仿宋" w:eastAsia="仿宋" w:cs="宋体"/>
          <w:color w:val="FF0000"/>
          <w:kern w:val="0"/>
          <w:sz w:val="21"/>
          <w:szCs w:val="21"/>
        </w:rPr>
      </w:pPr>
      <w:r>
        <w:rPr>
          <w:rFonts w:hint="eastAsia" w:ascii="仿宋" w:hAnsi="仿宋" w:eastAsia="仿宋" w:cs="宋体"/>
          <w:color w:val="FF0000"/>
          <w:kern w:val="0"/>
          <w:sz w:val="21"/>
          <w:szCs w:val="21"/>
        </w:rPr>
        <w:t>3.2、检测方法：尿液样本加入同位素内标和酶工作液，经酶解后采用液液萃取进行前处理，萃取液经浓缩至干。浓缩残留物复溶并离心后，取上清液用于高效液相色谱-串联质谱（HPLC–MS/MS）分析。</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3.3、样本类型：尿液：500ul。</w:t>
      </w:r>
    </w:p>
    <w:p>
      <w:pPr>
        <w:pStyle w:val="6"/>
        <w:spacing w:line="360" w:lineRule="auto"/>
        <w:ind w:firstLine="482"/>
        <w:contextualSpacing/>
        <w:rPr>
          <w:rFonts w:ascii="仿宋" w:hAnsi="仿宋" w:eastAsia="仿宋" w:cs="宋体"/>
          <w:color w:val="000000"/>
          <w:kern w:val="0"/>
          <w:sz w:val="21"/>
          <w:szCs w:val="21"/>
        </w:rPr>
      </w:pPr>
      <w:r>
        <w:rPr>
          <w:rFonts w:hint="eastAsia" w:ascii="仿宋" w:hAnsi="仿宋" w:eastAsia="仿宋" w:cs="宋体"/>
          <w:color w:val="000000"/>
          <w:kern w:val="0"/>
          <w:sz w:val="21"/>
          <w:szCs w:val="21"/>
        </w:rPr>
        <w:t>3.4、检测样本量：100份。</w:t>
      </w:r>
    </w:p>
    <w:p>
      <w:pPr>
        <w:pStyle w:val="6"/>
        <w:spacing w:line="360" w:lineRule="auto"/>
        <w:ind w:firstLine="482"/>
        <w:contextualSpacing/>
        <w:rPr>
          <w:rFonts w:ascii="仿宋" w:hAnsi="仿宋" w:eastAsia="仿宋"/>
          <w:b/>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4包 测试化验加工委托服务4</w:t>
      </w:r>
    </w:p>
    <w:p>
      <w:pPr>
        <w:pStyle w:val="6"/>
        <w:spacing w:line="360" w:lineRule="auto"/>
        <w:ind w:firstLine="482"/>
        <w:contextualSpacing/>
        <w:rPr>
          <w:rFonts w:ascii="仿宋" w:hAnsi="仿宋" w:eastAsia="仿宋"/>
          <w:b/>
          <w:sz w:val="21"/>
        </w:rPr>
      </w:pPr>
      <w:r>
        <w:rPr>
          <w:rFonts w:hint="eastAsia" w:ascii="仿宋" w:hAnsi="仿宋" w:eastAsia="仿宋"/>
          <w:b/>
          <w:sz w:val="21"/>
        </w:rPr>
        <w:t>（一）委托服务</w:t>
      </w:r>
    </w:p>
    <w:tbl>
      <w:tblPr>
        <w:tblStyle w:val="14"/>
        <w:tblW w:w="5000" w:type="pct"/>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autofit"/>
        <w:tblCellMar>
          <w:top w:w="0" w:type="dxa"/>
          <w:left w:w="10" w:type="dxa"/>
          <w:bottom w:w="0" w:type="dxa"/>
          <w:right w:w="10" w:type="dxa"/>
        </w:tblCellMar>
      </w:tblPr>
      <w:tblGrid>
        <w:gridCol w:w="1214"/>
        <w:gridCol w:w="3126"/>
        <w:gridCol w:w="1129"/>
        <w:gridCol w:w="2125"/>
        <w:gridCol w:w="872"/>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0" w:hRule="atLeast"/>
        </w:trPr>
        <w:tc>
          <w:tcPr>
            <w:tcW w:w="71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cs="宋体"/>
                <w:b/>
                <w:szCs w:val="21"/>
              </w:rPr>
            </w:pPr>
            <w:bookmarkStart w:id="31" w:name="OLE_LINK24"/>
            <w:r>
              <w:rPr>
                <w:rFonts w:hint="eastAsia" w:ascii="仿宋" w:hAnsi="仿宋" w:eastAsia="仿宋" w:cs="宋体"/>
                <w:b/>
                <w:kern w:val="0"/>
                <w:szCs w:val="21"/>
                <w:lang w:val="zh-TW" w:eastAsia="zh-TW"/>
              </w:rPr>
              <w:t>序号</w:t>
            </w:r>
          </w:p>
        </w:tc>
        <w:tc>
          <w:tcPr>
            <w:tcW w:w="184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cs="宋体"/>
                <w:b/>
                <w:szCs w:val="21"/>
              </w:rPr>
            </w:pPr>
            <w:r>
              <w:rPr>
                <w:rFonts w:hint="eastAsia" w:ascii="仿宋" w:hAnsi="仿宋" w:eastAsia="仿宋" w:cs="宋体"/>
                <w:b/>
                <w:bCs/>
                <w:kern w:val="0"/>
                <w:szCs w:val="21"/>
                <w:lang w:val="zh-TW" w:eastAsia="zh-TW"/>
              </w:rPr>
              <w:t>测试化验加工内容</w:t>
            </w:r>
          </w:p>
        </w:tc>
        <w:tc>
          <w:tcPr>
            <w:tcW w:w="66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cs="宋体"/>
                <w:b/>
                <w:szCs w:val="21"/>
              </w:rPr>
            </w:pPr>
            <w:r>
              <w:rPr>
                <w:rFonts w:hint="eastAsia" w:ascii="仿宋" w:hAnsi="仿宋" w:eastAsia="仿宋" w:cs="宋体"/>
                <w:b/>
                <w:kern w:val="0"/>
                <w:szCs w:val="21"/>
                <w:lang w:val="zh-TW" w:eastAsia="zh-TW"/>
              </w:rPr>
              <w:t>计量单位</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rPr>
                <w:rFonts w:ascii="仿宋" w:hAnsi="仿宋" w:eastAsia="仿宋" w:cs="宋体"/>
                <w:b/>
                <w:kern w:val="0"/>
                <w:szCs w:val="21"/>
                <w:lang w:val="zh-TW" w:eastAsia="zh-TW"/>
              </w:rPr>
            </w:pPr>
            <w:r>
              <w:rPr>
                <w:rFonts w:hint="eastAsia" w:ascii="仿宋" w:hAnsi="仿宋" w:eastAsia="仿宋" w:cs="宋体"/>
                <w:b/>
                <w:kern w:val="0"/>
                <w:szCs w:val="21"/>
                <w:lang w:val="zh-TW"/>
              </w:rPr>
              <w:t>单价</w:t>
            </w:r>
            <w:r>
              <w:rPr>
                <w:rFonts w:hint="eastAsia" w:ascii="仿宋" w:hAnsi="仿宋" w:eastAsia="仿宋" w:cs="宋体"/>
                <w:b/>
                <w:kern w:val="0"/>
                <w:szCs w:val="21"/>
              </w:rPr>
              <w:t>限价（人民币元）</w:t>
            </w:r>
          </w:p>
        </w:tc>
        <w:tc>
          <w:tcPr>
            <w:tcW w:w="51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cs="宋体"/>
                <w:b/>
                <w:szCs w:val="21"/>
              </w:rPr>
            </w:pPr>
            <w:r>
              <w:rPr>
                <w:rFonts w:hint="eastAsia" w:ascii="仿宋" w:hAnsi="仿宋" w:eastAsia="仿宋" w:cs="宋体"/>
                <w:b/>
                <w:kern w:val="0"/>
                <w:szCs w:val="21"/>
                <w:lang w:val="zh-TW" w:eastAsia="zh-TW"/>
              </w:rPr>
              <w:t>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28" w:hRule="atLeast"/>
        </w:trPr>
        <w:tc>
          <w:tcPr>
            <w:tcW w:w="71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kern w:val="0"/>
                <w:szCs w:val="21"/>
              </w:rPr>
              <w:t>1</w:t>
            </w:r>
          </w:p>
        </w:tc>
        <w:tc>
          <w:tcPr>
            <w:tcW w:w="184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szCs w:val="21"/>
              </w:rPr>
              <w:t>Y迷宫</w:t>
            </w:r>
          </w:p>
        </w:tc>
        <w:tc>
          <w:tcPr>
            <w:tcW w:w="66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szCs w:val="21"/>
              </w:rPr>
              <w:t>只/次</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rPr>
                <w:rFonts w:ascii="仿宋" w:hAnsi="仿宋" w:eastAsia="仿宋"/>
                <w:kern w:val="0"/>
                <w:szCs w:val="21"/>
              </w:rPr>
            </w:pPr>
            <w:r>
              <w:rPr>
                <w:rFonts w:hint="eastAsia" w:ascii="仿宋" w:hAnsi="仿宋" w:eastAsia="仿宋"/>
                <w:kern w:val="0"/>
                <w:szCs w:val="21"/>
              </w:rPr>
              <w:t>130</w:t>
            </w:r>
          </w:p>
        </w:tc>
        <w:tc>
          <w:tcPr>
            <w:tcW w:w="51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szCs w:val="21"/>
              </w:rPr>
              <w:t>32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90" w:hRule="atLeast"/>
        </w:trPr>
        <w:tc>
          <w:tcPr>
            <w:tcW w:w="71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kern w:val="0"/>
                <w:szCs w:val="21"/>
              </w:rPr>
            </w:pPr>
            <w:r>
              <w:rPr>
                <w:rFonts w:hint="eastAsia" w:ascii="仿宋" w:hAnsi="仿宋" w:eastAsia="仿宋"/>
                <w:kern w:val="0"/>
                <w:szCs w:val="21"/>
              </w:rPr>
              <w:t>2</w:t>
            </w:r>
          </w:p>
        </w:tc>
        <w:tc>
          <w:tcPr>
            <w:tcW w:w="184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bookmarkStart w:id="32" w:name="OLE_LINK192"/>
            <w:bookmarkStart w:id="33" w:name="OLE_LINK193"/>
            <w:r>
              <w:rPr>
                <w:rFonts w:hint="eastAsia" w:ascii="仿宋" w:hAnsi="仿宋" w:eastAsia="仿宋"/>
                <w:szCs w:val="21"/>
              </w:rPr>
              <w:t>旷场试验</w:t>
            </w:r>
            <w:bookmarkEnd w:id="32"/>
            <w:bookmarkEnd w:id="33"/>
          </w:p>
        </w:tc>
        <w:tc>
          <w:tcPr>
            <w:tcW w:w="66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szCs w:val="21"/>
              </w:rPr>
              <w:t>只/次</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rPr>
                <w:rFonts w:ascii="仿宋" w:hAnsi="仿宋" w:eastAsia="仿宋"/>
                <w:kern w:val="0"/>
                <w:szCs w:val="21"/>
              </w:rPr>
            </w:pPr>
            <w:r>
              <w:rPr>
                <w:rFonts w:hint="eastAsia" w:ascii="仿宋" w:hAnsi="仿宋" w:eastAsia="仿宋"/>
                <w:kern w:val="0"/>
                <w:szCs w:val="21"/>
              </w:rPr>
              <w:t>120</w:t>
            </w:r>
          </w:p>
        </w:tc>
        <w:tc>
          <w:tcPr>
            <w:tcW w:w="51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kern w:val="0"/>
                <w:szCs w:val="21"/>
              </w:rPr>
            </w:pPr>
            <w:r>
              <w:rPr>
                <w:rFonts w:hint="eastAsia" w:ascii="仿宋" w:hAnsi="仿宋" w:eastAsia="仿宋"/>
                <w:kern w:val="0"/>
                <w:szCs w:val="21"/>
              </w:rPr>
              <w:t>32</w:t>
            </w:r>
          </w:p>
        </w:tc>
      </w:tr>
      <w:bookmarkEnd w:id="31"/>
    </w:tbl>
    <w:p>
      <w:pPr>
        <w:spacing w:line="360" w:lineRule="auto"/>
        <w:contextualSpacing/>
        <w:rPr>
          <w:rFonts w:ascii="仿宋" w:hAnsi="仿宋" w:eastAsia="仿宋" w:cs="仿宋"/>
          <w:b/>
          <w:bCs/>
          <w:szCs w:val="21"/>
        </w:rPr>
      </w:pPr>
      <w:r>
        <w:rPr>
          <w:rFonts w:hint="eastAsia" w:ascii="仿宋" w:hAnsi="仿宋" w:eastAsia="仿宋" w:cs="仿宋"/>
          <w:b/>
          <w:bCs/>
          <w:szCs w:val="21"/>
        </w:rPr>
        <w:t>注：1）投标人所报委托服务明细单价不能超过上述单价限价，否则按废标处理。</w:t>
      </w:r>
    </w:p>
    <w:p>
      <w:pPr>
        <w:pStyle w:val="6"/>
        <w:spacing w:line="360" w:lineRule="auto"/>
        <w:ind w:firstLine="482"/>
        <w:contextualSpacing/>
        <w:rPr>
          <w:rFonts w:ascii="仿宋" w:hAnsi="仿宋" w:eastAsia="仿宋"/>
          <w:b/>
          <w:sz w:val="18"/>
        </w:rPr>
      </w:pPr>
      <w:r>
        <w:rPr>
          <w:rFonts w:hint="eastAsia" w:ascii="仿宋" w:hAnsi="仿宋" w:eastAsia="仿宋" w:cs="仿宋"/>
          <w:b/>
          <w:bCs/>
          <w:sz w:val="21"/>
          <w:szCs w:val="21"/>
        </w:rPr>
        <w:t>2）投标人所报数量不能低于上述委托服务中列明的数量，否则按废标处理。</w:t>
      </w:r>
    </w:p>
    <w:p>
      <w:pPr>
        <w:pStyle w:val="6"/>
        <w:spacing w:line="360" w:lineRule="auto"/>
        <w:ind w:firstLine="482"/>
        <w:contextualSpacing/>
        <w:rPr>
          <w:rFonts w:ascii="仿宋" w:hAnsi="仿宋" w:eastAsia="仿宋"/>
          <w:b/>
          <w:sz w:val="21"/>
        </w:rPr>
      </w:pPr>
      <w:r>
        <w:rPr>
          <w:rFonts w:hint="eastAsia" w:ascii="仿宋" w:hAnsi="仿宋" w:eastAsia="仿宋"/>
          <w:b/>
          <w:sz w:val="21"/>
        </w:rPr>
        <w:t>（二）商务要求</w:t>
      </w:r>
    </w:p>
    <w:p>
      <w:pPr>
        <w:pStyle w:val="25"/>
        <w:spacing w:line="360" w:lineRule="auto"/>
        <w:ind w:firstLine="420"/>
        <w:rPr>
          <w:rFonts w:ascii="仿宋" w:hAnsi="仿宋" w:eastAsia="仿宋"/>
          <w:szCs w:val="21"/>
        </w:rPr>
      </w:pPr>
      <w:r>
        <w:rPr>
          <w:rFonts w:hint="eastAsia" w:ascii="仿宋" w:hAnsi="仿宋" w:eastAsia="仿宋"/>
          <w:szCs w:val="21"/>
        </w:rPr>
        <w:t>1、交付内容：合同生效后的交付期限30天内，提供Y迷宫和矿场试验的行为学统计数据及分析结论。</w:t>
      </w:r>
    </w:p>
    <w:p>
      <w:pPr>
        <w:pStyle w:val="25"/>
        <w:spacing w:line="360" w:lineRule="auto"/>
        <w:ind w:firstLine="420"/>
        <w:rPr>
          <w:rFonts w:ascii="仿宋" w:hAnsi="仿宋" w:eastAsia="仿宋"/>
          <w:szCs w:val="21"/>
        </w:rPr>
      </w:pPr>
      <w:r>
        <w:rPr>
          <w:rFonts w:hint="eastAsia" w:ascii="仿宋" w:hAnsi="仿宋" w:eastAsia="仿宋"/>
          <w:szCs w:val="21"/>
        </w:rPr>
        <w:t>2、质保期限：数据验收合格之日起的45天内，技术人员对于委托方提出明确的询问、质疑及投诉，在5个工作日内进行处理和解决。</w:t>
      </w:r>
    </w:p>
    <w:p>
      <w:pPr>
        <w:pStyle w:val="25"/>
        <w:spacing w:line="360" w:lineRule="auto"/>
        <w:ind w:firstLine="420"/>
        <w:rPr>
          <w:rFonts w:ascii="仿宋" w:hAnsi="仿宋" w:eastAsia="仿宋"/>
          <w:szCs w:val="21"/>
        </w:rPr>
      </w:pPr>
      <w:r>
        <w:rPr>
          <w:rFonts w:hint="eastAsia" w:ascii="仿宋" w:hAnsi="仿宋" w:eastAsia="仿宋"/>
          <w:szCs w:val="21"/>
        </w:rPr>
        <w:t>3、配套附件清单：标准测试笼体、鼠屋、气密饮水瓶、皮下植入子及注射器、控制电脑等的具体数量。</w:t>
      </w:r>
    </w:p>
    <w:p>
      <w:pPr>
        <w:pStyle w:val="6"/>
        <w:spacing w:line="360" w:lineRule="auto"/>
        <w:ind w:firstLine="482"/>
        <w:contextualSpacing/>
        <w:rPr>
          <w:rFonts w:ascii="仿宋" w:hAnsi="仿宋" w:eastAsia="仿宋"/>
          <w:sz w:val="21"/>
        </w:rPr>
      </w:pPr>
      <w:r>
        <w:rPr>
          <w:rFonts w:hint="eastAsia" w:ascii="仿宋" w:hAnsi="仿宋" w:eastAsia="仿宋"/>
          <w:color w:val="FF0000"/>
          <w:szCs w:val="21"/>
        </w:rPr>
        <w:t>4</w:t>
      </w:r>
      <w:r>
        <w:rPr>
          <w:rFonts w:hint="eastAsia" w:ascii="仿宋" w:hAnsi="仿宋" w:eastAsia="仿宋"/>
          <w:sz w:val="21"/>
        </w:rPr>
        <w:t>、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contextualSpacing/>
        <w:rPr>
          <w:rFonts w:ascii="仿宋" w:hAnsi="仿宋" w:eastAsia="仿宋"/>
          <w:sz w:val="21"/>
        </w:rPr>
      </w:pPr>
      <w:r>
        <w:rPr>
          <w:rFonts w:hint="eastAsia" w:ascii="仿宋" w:hAnsi="仿宋" w:eastAsia="仿宋"/>
          <w:sz w:val="21"/>
        </w:rPr>
        <w:t>5、本项目产生的检测数据、分析结果及相关研究成果的知识产权归采购人所有。</w:t>
      </w:r>
    </w:p>
    <w:p>
      <w:pPr>
        <w:pStyle w:val="6"/>
        <w:spacing w:line="360" w:lineRule="auto"/>
        <w:ind w:firstLine="482"/>
        <w:contextualSpacing/>
        <w:rPr>
          <w:rFonts w:ascii="仿宋" w:hAnsi="仿宋" w:eastAsia="仿宋"/>
          <w:sz w:val="21"/>
        </w:rPr>
      </w:pPr>
      <w:r>
        <w:rPr>
          <w:rFonts w:hint="eastAsia" w:ascii="仿宋" w:hAnsi="仿宋" w:eastAsia="仿宋"/>
          <w:sz w:val="21"/>
        </w:rPr>
        <w:t>6、投标人应建立样品接收、登记、储存、处理、销毁的全流程管理制度，确保样品可追溯、可核查。需安排专人上门接收样品，并提供取样人员名单及联系方式。</w:t>
      </w:r>
    </w:p>
    <w:p>
      <w:pPr>
        <w:pStyle w:val="6"/>
        <w:spacing w:line="360" w:lineRule="auto"/>
        <w:ind w:firstLine="482"/>
        <w:contextualSpacing/>
        <w:rPr>
          <w:rFonts w:ascii="仿宋" w:hAnsi="仿宋" w:eastAsia="仿宋"/>
          <w:b/>
          <w:sz w:val="21"/>
        </w:rPr>
      </w:pPr>
      <w:r>
        <w:rPr>
          <w:rFonts w:hint="eastAsia" w:ascii="仿宋" w:hAnsi="仿宋" w:eastAsia="仿宋"/>
          <w:b/>
          <w:sz w:val="21"/>
        </w:rPr>
        <w:t>（三）技术要求</w:t>
      </w:r>
    </w:p>
    <w:p>
      <w:pPr>
        <w:pStyle w:val="6"/>
        <w:spacing w:line="360" w:lineRule="auto"/>
        <w:ind w:firstLine="482"/>
        <w:contextualSpacing/>
        <w:rPr>
          <w:rFonts w:ascii="仿宋" w:hAnsi="仿宋" w:eastAsia="仿宋"/>
          <w:sz w:val="21"/>
        </w:rPr>
      </w:pPr>
      <w:r>
        <w:rPr>
          <w:rFonts w:hint="eastAsia" w:ascii="仿宋" w:hAnsi="仿宋" w:eastAsia="仿宋"/>
          <w:sz w:val="21"/>
        </w:rPr>
        <w:t>1、Y迷宫：</w:t>
      </w:r>
    </w:p>
    <w:p>
      <w:pPr>
        <w:pStyle w:val="6"/>
        <w:spacing w:line="360" w:lineRule="auto"/>
        <w:ind w:firstLine="482"/>
        <w:contextualSpacing/>
        <w:rPr>
          <w:rFonts w:ascii="仿宋" w:hAnsi="仿宋" w:eastAsia="仿宋"/>
          <w:sz w:val="21"/>
        </w:rPr>
      </w:pPr>
      <w:bookmarkStart w:id="34" w:name="OLE_LINK190"/>
      <w:bookmarkStart w:id="35" w:name="OLE_LINK191"/>
      <w:r>
        <w:rPr>
          <w:rFonts w:hint="eastAsia" w:ascii="仿宋" w:hAnsi="仿宋" w:eastAsia="仿宋"/>
          <w:sz w:val="21"/>
        </w:rPr>
        <w:t>（1）训练:</w:t>
      </w:r>
    </w:p>
    <w:p>
      <w:pPr>
        <w:pStyle w:val="6"/>
        <w:spacing w:line="360" w:lineRule="auto"/>
        <w:ind w:firstLine="482"/>
        <w:contextualSpacing/>
        <w:rPr>
          <w:rFonts w:ascii="仿宋" w:hAnsi="仿宋" w:eastAsia="仿宋"/>
          <w:sz w:val="21"/>
        </w:rPr>
      </w:pPr>
      <w:r>
        <w:rPr>
          <w:rFonts w:hint="eastAsia" w:ascii="仿宋" w:hAnsi="仿宋" w:eastAsia="仿宋"/>
          <w:sz w:val="21"/>
        </w:rPr>
        <w:t>先封闭一个臂（新异臂），将小鼠放入起始臂，让小鼠在剩余的两个臂（起始臂和其他臂）中自由探索10min。</w:t>
      </w:r>
    </w:p>
    <w:p>
      <w:pPr>
        <w:pStyle w:val="6"/>
        <w:spacing w:line="360" w:lineRule="auto"/>
        <w:ind w:firstLine="482"/>
        <w:contextualSpacing/>
        <w:rPr>
          <w:rFonts w:ascii="仿宋" w:hAnsi="仿宋" w:eastAsia="仿宋"/>
          <w:sz w:val="21"/>
        </w:rPr>
      </w:pPr>
      <w:r>
        <w:rPr>
          <w:rFonts w:hint="eastAsia" w:ascii="仿宋" w:hAnsi="仿宋" w:eastAsia="仿宋"/>
          <w:sz w:val="21"/>
        </w:rPr>
        <w:t>（2）测试:</w:t>
      </w:r>
    </w:p>
    <w:p>
      <w:pPr>
        <w:pStyle w:val="6"/>
        <w:spacing w:line="360" w:lineRule="auto"/>
        <w:ind w:firstLine="482"/>
        <w:contextualSpacing/>
        <w:rPr>
          <w:rFonts w:ascii="仿宋" w:hAnsi="仿宋" w:eastAsia="仿宋"/>
          <w:sz w:val="21"/>
        </w:rPr>
      </w:pPr>
      <w:r>
        <w:rPr>
          <w:rFonts w:hint="eastAsia" w:ascii="仿宋" w:hAnsi="仿宋" w:eastAsia="仿宋"/>
          <w:sz w:val="21"/>
        </w:rPr>
        <w:t>全部训练后，打开挡板，每只鼠自由探索5min，记录小鼠进入新异臂、起始臂、其他臂的次数和时间，尤其是新的次数和时间。</w:t>
      </w:r>
      <w:bookmarkEnd w:id="34"/>
      <w:bookmarkEnd w:id="35"/>
    </w:p>
    <w:p>
      <w:pPr>
        <w:pStyle w:val="6"/>
        <w:spacing w:line="360" w:lineRule="auto"/>
        <w:ind w:firstLine="482"/>
        <w:contextualSpacing/>
        <w:rPr>
          <w:rFonts w:ascii="仿宋" w:hAnsi="仿宋" w:eastAsia="仿宋"/>
          <w:sz w:val="21"/>
        </w:rPr>
      </w:pPr>
      <w:r>
        <w:rPr>
          <w:rFonts w:hint="eastAsia" w:ascii="仿宋" w:hAnsi="仿宋" w:eastAsia="仿宋"/>
          <w:sz w:val="21"/>
        </w:rPr>
        <w:t>2、旷场试验：</w:t>
      </w:r>
    </w:p>
    <w:p>
      <w:pPr>
        <w:pStyle w:val="6"/>
        <w:spacing w:line="360" w:lineRule="auto"/>
        <w:ind w:firstLine="482"/>
        <w:contextualSpacing/>
        <w:rPr>
          <w:rFonts w:ascii="仿宋" w:hAnsi="仿宋" w:eastAsia="仿宋"/>
          <w:sz w:val="21"/>
        </w:rPr>
      </w:pPr>
      <w:r>
        <w:rPr>
          <w:rFonts w:hint="eastAsia" w:ascii="仿宋" w:hAnsi="仿宋" w:eastAsia="仿宋"/>
          <w:sz w:val="21"/>
        </w:rPr>
        <w:t>（1）第一天适应环境，将小鼠轻缓放置于方箱中央区域测试其探索性运动，适应5min，不做摄像记录。</w:t>
      </w:r>
    </w:p>
    <w:p>
      <w:pPr>
        <w:pStyle w:val="6"/>
        <w:spacing w:line="360" w:lineRule="auto"/>
        <w:ind w:firstLine="482"/>
        <w:contextualSpacing/>
        <w:rPr>
          <w:rFonts w:ascii="仿宋" w:hAnsi="仿宋" w:eastAsia="仿宋"/>
          <w:sz w:val="21"/>
        </w:rPr>
      </w:pPr>
      <w:r>
        <w:rPr>
          <w:rFonts w:hint="eastAsia" w:ascii="仿宋" w:hAnsi="仿宋" w:eastAsia="仿宋"/>
          <w:sz w:val="21"/>
        </w:rPr>
        <w:t>（2）第二天实验测试，将小鼠轻缓放置于方箱中央区域测试其探索性运动，环境安静后进行摄像，共记录5min的活动情况。自动行为跟踪系统记录小鼠在中央区运动时间和运动的总路程。</w:t>
      </w:r>
    </w:p>
    <w:p>
      <w:pPr>
        <w:pStyle w:val="6"/>
        <w:spacing w:line="360" w:lineRule="auto"/>
        <w:ind w:firstLine="482"/>
        <w:contextualSpacing/>
        <w:rPr>
          <w:rFonts w:ascii="仿宋" w:hAnsi="仿宋" w:eastAsia="仿宋"/>
          <w:sz w:val="21"/>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5包 测试化验加工委托服务5</w:t>
      </w:r>
    </w:p>
    <w:p>
      <w:pPr>
        <w:pStyle w:val="6"/>
        <w:spacing w:line="360" w:lineRule="auto"/>
        <w:ind w:firstLine="482"/>
        <w:contextualSpacing/>
        <w:rPr>
          <w:rFonts w:ascii="仿宋" w:hAnsi="仿宋" w:eastAsia="仿宋"/>
          <w:b/>
          <w:sz w:val="21"/>
        </w:rPr>
      </w:pPr>
      <w:r>
        <w:rPr>
          <w:rFonts w:hint="eastAsia" w:ascii="仿宋" w:hAnsi="仿宋" w:eastAsia="仿宋"/>
          <w:b/>
          <w:sz w:val="21"/>
        </w:rPr>
        <w:t>（一）委托服务</w:t>
      </w:r>
    </w:p>
    <w:tbl>
      <w:tblPr>
        <w:tblStyle w:val="14"/>
        <w:tblW w:w="5000"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autofit"/>
        <w:tblCellMar>
          <w:top w:w="0" w:type="dxa"/>
          <w:left w:w="10" w:type="dxa"/>
          <w:bottom w:w="0" w:type="dxa"/>
          <w:right w:w="10" w:type="dxa"/>
        </w:tblCellMar>
      </w:tblPr>
      <w:tblGrid>
        <w:gridCol w:w="1064"/>
        <w:gridCol w:w="2564"/>
        <w:gridCol w:w="1416"/>
        <w:gridCol w:w="2408"/>
        <w:gridCol w:w="1014"/>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0" w:hRule="atLeast"/>
          <w:jc w:val="center"/>
        </w:trPr>
        <w:tc>
          <w:tcPr>
            <w:tcW w:w="628"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spacing w:line="276" w:lineRule="auto"/>
              <w:contextualSpacing/>
              <w:jc w:val="center"/>
              <w:rPr>
                <w:rFonts w:ascii="仿宋" w:hAnsi="仿宋" w:eastAsia="仿宋"/>
                <w:b/>
                <w:szCs w:val="21"/>
              </w:rPr>
            </w:pPr>
            <w:r>
              <w:rPr>
                <w:rFonts w:hint="eastAsia" w:ascii="仿宋" w:hAnsi="仿宋" w:eastAsia="仿宋"/>
                <w:b/>
                <w:kern w:val="0"/>
                <w:szCs w:val="21"/>
                <w:lang w:val="zh-TW" w:eastAsia="zh-TW"/>
              </w:rPr>
              <w:t>序号</w:t>
            </w:r>
          </w:p>
        </w:tc>
        <w:tc>
          <w:tcPr>
            <w:tcW w:w="1514"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spacing w:line="276" w:lineRule="auto"/>
              <w:contextualSpacing/>
              <w:jc w:val="center"/>
              <w:rPr>
                <w:rFonts w:ascii="仿宋" w:hAnsi="仿宋" w:eastAsia="仿宋"/>
                <w:b/>
                <w:szCs w:val="21"/>
              </w:rPr>
            </w:pPr>
            <w:r>
              <w:rPr>
                <w:rFonts w:hint="eastAsia" w:ascii="仿宋" w:hAnsi="仿宋" w:eastAsia="仿宋"/>
                <w:b/>
                <w:bCs/>
                <w:kern w:val="0"/>
                <w:szCs w:val="21"/>
                <w:lang w:val="zh-TW" w:eastAsia="zh-TW"/>
              </w:rPr>
              <w:t>测试化验加工内容</w:t>
            </w:r>
          </w:p>
        </w:tc>
        <w:tc>
          <w:tcPr>
            <w:tcW w:w="836"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spacing w:line="276" w:lineRule="auto"/>
              <w:contextualSpacing/>
              <w:jc w:val="center"/>
              <w:rPr>
                <w:rFonts w:ascii="仿宋" w:hAnsi="仿宋" w:eastAsia="仿宋"/>
                <w:b/>
                <w:szCs w:val="21"/>
              </w:rPr>
            </w:pPr>
            <w:r>
              <w:rPr>
                <w:rFonts w:hint="eastAsia" w:ascii="仿宋" w:hAnsi="仿宋" w:eastAsia="仿宋"/>
                <w:b/>
                <w:kern w:val="0"/>
                <w:szCs w:val="21"/>
                <w:lang w:val="zh-TW" w:eastAsia="zh-TW"/>
              </w:rPr>
              <w:t>计量单位</w:t>
            </w:r>
          </w:p>
        </w:tc>
        <w:tc>
          <w:tcPr>
            <w:tcW w:w="1422" w:type="pct"/>
            <w:tcBorders>
              <w:top w:val="single" w:color="000000" w:sz="4" w:space="0"/>
              <w:left w:val="single" w:color="000000" w:sz="4" w:space="0"/>
              <w:bottom w:val="single" w:color="000000" w:sz="4" w:space="0"/>
              <w:right w:val="single" w:color="000000" w:sz="4" w:space="0"/>
            </w:tcBorders>
            <w:vAlign w:val="center"/>
          </w:tcPr>
          <w:p>
            <w:pPr>
              <w:widowControl/>
              <w:spacing w:line="276" w:lineRule="auto"/>
              <w:ind w:firstLine="211" w:firstLineChars="100"/>
              <w:contextualSpacing/>
              <w:jc w:val="center"/>
              <w:rPr>
                <w:rFonts w:ascii="仿宋" w:hAnsi="仿宋" w:eastAsia="仿宋"/>
                <w:b/>
                <w:kern w:val="0"/>
                <w:szCs w:val="21"/>
                <w:lang w:val="zh-TW" w:eastAsia="zh-TW"/>
              </w:rPr>
            </w:pPr>
            <w:r>
              <w:rPr>
                <w:rFonts w:hint="eastAsia" w:ascii="仿宋" w:hAnsi="仿宋" w:eastAsia="仿宋"/>
                <w:b/>
                <w:kern w:val="0"/>
                <w:szCs w:val="21"/>
                <w:lang w:val="zh-TW"/>
              </w:rPr>
              <w:t>单价</w:t>
            </w:r>
            <w:r>
              <w:rPr>
                <w:rFonts w:hint="eastAsia" w:ascii="仿宋" w:hAnsi="仿宋" w:eastAsia="仿宋" w:cs="宋体"/>
                <w:b/>
                <w:kern w:val="0"/>
                <w:szCs w:val="21"/>
              </w:rPr>
              <w:t>限价（人民币元）</w:t>
            </w:r>
          </w:p>
        </w:tc>
        <w:tc>
          <w:tcPr>
            <w:tcW w:w="599"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spacing w:line="276" w:lineRule="auto"/>
              <w:contextualSpacing/>
              <w:jc w:val="center"/>
              <w:rPr>
                <w:rFonts w:ascii="仿宋" w:hAnsi="仿宋" w:eastAsia="仿宋"/>
                <w:b/>
                <w:szCs w:val="21"/>
              </w:rPr>
            </w:pPr>
            <w:r>
              <w:rPr>
                <w:rFonts w:hint="eastAsia" w:ascii="仿宋" w:hAnsi="仿宋" w:eastAsia="仿宋"/>
                <w:b/>
                <w:kern w:val="0"/>
                <w:szCs w:val="21"/>
                <w:lang w:val="zh-TW" w:eastAsia="zh-TW"/>
              </w:rPr>
              <w:t>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28" w:hRule="atLeast"/>
          <w:jc w:val="center"/>
        </w:trPr>
        <w:tc>
          <w:tcPr>
            <w:tcW w:w="628"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spacing w:line="276" w:lineRule="auto"/>
              <w:contextualSpacing/>
              <w:jc w:val="center"/>
              <w:rPr>
                <w:rFonts w:ascii="仿宋" w:hAnsi="仿宋" w:eastAsia="仿宋"/>
                <w:szCs w:val="21"/>
              </w:rPr>
            </w:pPr>
            <w:r>
              <w:rPr>
                <w:rFonts w:hint="eastAsia" w:ascii="仿宋" w:hAnsi="仿宋" w:eastAsia="仿宋"/>
                <w:kern w:val="0"/>
                <w:szCs w:val="21"/>
              </w:rPr>
              <w:t>1</w:t>
            </w:r>
          </w:p>
        </w:tc>
        <w:tc>
          <w:tcPr>
            <w:tcW w:w="1514"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spacing w:line="276" w:lineRule="auto"/>
              <w:contextualSpacing/>
              <w:jc w:val="center"/>
              <w:rPr>
                <w:rFonts w:ascii="仿宋" w:hAnsi="仿宋" w:eastAsia="仿宋" w:cs="宋体"/>
                <w:kern w:val="0"/>
                <w:szCs w:val="21"/>
                <w:lang w:val="zh-TW" w:eastAsia="zh-TW"/>
              </w:rPr>
            </w:pPr>
            <w:r>
              <w:rPr>
                <w:rFonts w:hint="eastAsia" w:ascii="仿宋" w:hAnsi="仿宋" w:eastAsia="仿宋" w:cs="宋体"/>
                <w:kern w:val="0"/>
                <w:szCs w:val="21"/>
                <w:lang w:val="zh-TW"/>
              </w:rPr>
              <w:t>肌醇含量测定</w:t>
            </w:r>
          </w:p>
        </w:tc>
        <w:tc>
          <w:tcPr>
            <w:tcW w:w="836"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spacing w:line="276" w:lineRule="auto"/>
              <w:contextualSpacing/>
              <w:jc w:val="center"/>
              <w:rPr>
                <w:rFonts w:ascii="仿宋" w:hAnsi="仿宋" w:eastAsia="仿宋"/>
                <w:szCs w:val="21"/>
              </w:rPr>
            </w:pPr>
            <w:r>
              <w:rPr>
                <w:rFonts w:hint="eastAsia" w:ascii="仿宋" w:hAnsi="仿宋" w:eastAsia="仿宋"/>
                <w:szCs w:val="21"/>
              </w:rPr>
              <w:t>样本</w:t>
            </w:r>
          </w:p>
        </w:tc>
        <w:tc>
          <w:tcPr>
            <w:tcW w:w="1422" w:type="pct"/>
            <w:tcBorders>
              <w:top w:val="single" w:color="000000" w:sz="4" w:space="0"/>
              <w:left w:val="single" w:color="000000" w:sz="4" w:space="0"/>
              <w:bottom w:val="single" w:color="000000" w:sz="4" w:space="0"/>
              <w:right w:val="single" w:color="000000" w:sz="4" w:space="0"/>
            </w:tcBorders>
            <w:vAlign w:val="center"/>
          </w:tcPr>
          <w:p>
            <w:pPr>
              <w:widowControl/>
              <w:spacing w:line="276" w:lineRule="auto"/>
              <w:contextualSpacing/>
              <w:jc w:val="center"/>
              <w:rPr>
                <w:rFonts w:ascii="仿宋" w:hAnsi="仿宋" w:eastAsia="仿宋"/>
                <w:kern w:val="0"/>
                <w:szCs w:val="21"/>
              </w:rPr>
            </w:pPr>
            <w:r>
              <w:rPr>
                <w:rFonts w:hint="eastAsia" w:ascii="仿宋" w:hAnsi="仿宋" w:eastAsia="仿宋" w:cs="宋体"/>
                <w:kern w:val="0"/>
                <w:szCs w:val="21"/>
              </w:rPr>
              <w:t>600</w:t>
            </w:r>
          </w:p>
        </w:tc>
        <w:tc>
          <w:tcPr>
            <w:tcW w:w="599" w:type="pct"/>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spacing w:line="276" w:lineRule="auto"/>
              <w:contextualSpacing/>
              <w:jc w:val="center"/>
              <w:rPr>
                <w:rFonts w:ascii="仿宋" w:hAnsi="仿宋" w:eastAsia="仿宋"/>
                <w:szCs w:val="21"/>
              </w:rPr>
            </w:pPr>
            <w:r>
              <w:rPr>
                <w:rFonts w:hint="eastAsia" w:ascii="仿宋" w:hAnsi="仿宋" w:eastAsia="仿宋"/>
                <w:szCs w:val="21"/>
              </w:rPr>
              <w:t>50</w:t>
            </w:r>
          </w:p>
        </w:tc>
      </w:tr>
    </w:tbl>
    <w:p>
      <w:pPr>
        <w:spacing w:line="360" w:lineRule="auto"/>
        <w:contextualSpacing/>
        <w:rPr>
          <w:rFonts w:ascii="仿宋" w:hAnsi="仿宋" w:eastAsia="仿宋" w:cs="仿宋"/>
          <w:b/>
          <w:bCs/>
          <w:szCs w:val="21"/>
        </w:rPr>
      </w:pPr>
      <w:r>
        <w:rPr>
          <w:rFonts w:hint="eastAsia" w:ascii="仿宋" w:hAnsi="仿宋" w:eastAsia="仿宋" w:cs="仿宋"/>
          <w:b/>
          <w:bCs/>
          <w:szCs w:val="21"/>
        </w:rPr>
        <w:t>注：1）投标人所报委托服务明细单价不能超过上述单价限价，否则按废标处理。</w:t>
      </w:r>
    </w:p>
    <w:p>
      <w:pPr>
        <w:pStyle w:val="6"/>
        <w:spacing w:line="360" w:lineRule="auto"/>
        <w:ind w:firstLine="482"/>
        <w:contextualSpacing/>
        <w:rPr>
          <w:rFonts w:ascii="仿宋" w:hAnsi="仿宋" w:eastAsia="仿宋"/>
          <w:b/>
          <w:sz w:val="18"/>
        </w:rPr>
      </w:pPr>
      <w:r>
        <w:rPr>
          <w:rFonts w:hint="eastAsia" w:ascii="仿宋" w:hAnsi="仿宋" w:eastAsia="仿宋" w:cs="仿宋"/>
          <w:b/>
          <w:bCs/>
          <w:sz w:val="21"/>
          <w:szCs w:val="21"/>
        </w:rPr>
        <w:t>2）投标人所报数量不能低于上述委托服务中列明的数量，否则按废标处理。</w:t>
      </w:r>
    </w:p>
    <w:p>
      <w:pPr>
        <w:pStyle w:val="6"/>
        <w:spacing w:line="360" w:lineRule="auto"/>
        <w:ind w:firstLine="482"/>
        <w:contextualSpacing/>
        <w:rPr>
          <w:rFonts w:ascii="仿宋" w:hAnsi="仿宋" w:eastAsia="仿宋"/>
          <w:b/>
          <w:sz w:val="21"/>
        </w:rPr>
      </w:pPr>
      <w:r>
        <w:rPr>
          <w:rFonts w:hint="eastAsia" w:ascii="仿宋" w:hAnsi="仿宋" w:eastAsia="仿宋"/>
          <w:b/>
          <w:sz w:val="21"/>
        </w:rPr>
        <w:t>（二）商务要求</w:t>
      </w:r>
    </w:p>
    <w:p>
      <w:pPr>
        <w:pStyle w:val="6"/>
        <w:spacing w:line="360" w:lineRule="auto"/>
        <w:ind w:firstLine="482"/>
        <w:contextualSpacing/>
        <w:rPr>
          <w:rFonts w:ascii="仿宋" w:hAnsi="仿宋" w:eastAsia="仿宋"/>
          <w:sz w:val="21"/>
        </w:rPr>
      </w:pPr>
      <w:r>
        <w:rPr>
          <w:rFonts w:hint="eastAsia" w:ascii="仿宋" w:hAnsi="仿宋" w:eastAsia="仿宋"/>
          <w:sz w:val="21"/>
        </w:rPr>
        <w:t>1.合同签订后根据用户具体需求分批次把样品交付给投标人，收到样品后按照合同要求时间交付相应结果。</w:t>
      </w:r>
    </w:p>
    <w:p>
      <w:pPr>
        <w:pStyle w:val="6"/>
        <w:spacing w:line="360" w:lineRule="auto"/>
        <w:ind w:firstLine="482"/>
        <w:contextualSpacing/>
        <w:rPr>
          <w:rFonts w:ascii="仿宋" w:hAnsi="仿宋" w:eastAsia="仿宋"/>
          <w:sz w:val="21"/>
        </w:rPr>
      </w:pPr>
      <w:r>
        <w:rPr>
          <w:rFonts w:hint="eastAsia" w:ascii="仿宋" w:hAnsi="仿宋" w:eastAsia="仿宋"/>
          <w:sz w:val="21"/>
        </w:rPr>
        <w:t>2.结果 (含检测序列)遵照生物安全和信息保密相关规定按采购人要求发往指定服务地点。</w:t>
      </w:r>
    </w:p>
    <w:p>
      <w:pPr>
        <w:pStyle w:val="6"/>
        <w:spacing w:line="360" w:lineRule="auto"/>
        <w:ind w:firstLine="482"/>
        <w:contextualSpacing/>
        <w:rPr>
          <w:rFonts w:ascii="仿宋" w:hAnsi="仿宋" w:eastAsia="仿宋"/>
          <w:sz w:val="21"/>
        </w:rPr>
      </w:pPr>
      <w:r>
        <w:rPr>
          <w:rFonts w:hint="eastAsia" w:ascii="仿宋" w:hAnsi="仿宋" w:eastAsia="仿宋"/>
          <w:sz w:val="21"/>
        </w:rPr>
        <w:t>3.采购人有权要求投标人提供本服务检测过程中的任何相关数据。</w:t>
      </w:r>
    </w:p>
    <w:p>
      <w:pPr>
        <w:pStyle w:val="6"/>
        <w:spacing w:line="360" w:lineRule="auto"/>
        <w:ind w:firstLine="482"/>
        <w:contextualSpacing/>
        <w:rPr>
          <w:rFonts w:ascii="仿宋" w:hAnsi="仿宋" w:eastAsia="仿宋"/>
          <w:sz w:val="21"/>
        </w:rPr>
      </w:pPr>
      <w:r>
        <w:rPr>
          <w:rFonts w:hint="eastAsia" w:ascii="仿宋" w:hAnsi="仿宋" w:eastAsia="仿宋"/>
          <w:sz w:val="21"/>
        </w:rPr>
        <w:t>4.售后服务：售后服务专人跟进，可建立微信群方便采购人随时联系。</w:t>
      </w:r>
    </w:p>
    <w:p>
      <w:pPr>
        <w:pStyle w:val="6"/>
        <w:spacing w:line="360" w:lineRule="auto"/>
        <w:ind w:firstLine="482"/>
        <w:contextualSpacing/>
        <w:rPr>
          <w:rFonts w:ascii="仿宋" w:hAnsi="仿宋" w:eastAsia="仿宋"/>
          <w:sz w:val="21"/>
        </w:rPr>
      </w:pPr>
      <w:r>
        <w:rPr>
          <w:rFonts w:hint="eastAsia" w:ascii="仿宋" w:hAnsi="仿宋" w:eastAsia="仿宋"/>
          <w:sz w:val="21"/>
        </w:rPr>
        <w:t>5.技术履约验收内容：采购人按照国家有关规定以及招标文件的要求、投标人的投标文件及承诺与本项目合同约定标准进行验收。</w:t>
      </w:r>
    </w:p>
    <w:p>
      <w:pPr>
        <w:pStyle w:val="6"/>
        <w:spacing w:line="360" w:lineRule="auto"/>
        <w:ind w:firstLine="482"/>
        <w:contextualSpacing/>
        <w:rPr>
          <w:rFonts w:ascii="仿宋" w:hAnsi="仿宋" w:eastAsia="仿宋"/>
          <w:sz w:val="21"/>
        </w:rPr>
      </w:pPr>
      <w:r>
        <w:rPr>
          <w:rFonts w:hint="eastAsia" w:ascii="仿宋" w:hAnsi="仿宋" w:eastAsia="仿宋"/>
          <w:sz w:val="21"/>
        </w:rPr>
        <w:t>6.投标人需配备项目团队，团队成员均具备相关工作经验且管理与实施需分工明确。项目管理人才团队具有≥2名高级职称人员。</w:t>
      </w:r>
    </w:p>
    <w:p>
      <w:pPr>
        <w:pStyle w:val="6"/>
        <w:spacing w:line="360" w:lineRule="auto"/>
        <w:ind w:firstLine="482"/>
        <w:contextualSpacing/>
        <w:rPr>
          <w:rFonts w:ascii="仿宋" w:hAnsi="仿宋" w:eastAsia="仿宋"/>
          <w:sz w:val="21"/>
        </w:rPr>
      </w:pPr>
      <w:bookmarkStart w:id="36" w:name="OLE_LINK265"/>
      <w:r>
        <w:rPr>
          <w:rFonts w:hint="eastAsia" w:ascii="仿宋" w:hAnsi="仿宋" w:eastAsia="仿宋"/>
          <w:sz w:val="21"/>
        </w:rPr>
        <w:t>7.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contextualSpacing/>
        <w:rPr>
          <w:rFonts w:ascii="仿宋" w:hAnsi="仿宋" w:eastAsia="仿宋"/>
          <w:sz w:val="21"/>
        </w:rPr>
      </w:pPr>
      <w:r>
        <w:rPr>
          <w:rFonts w:hint="eastAsia" w:ascii="仿宋" w:hAnsi="仿宋" w:eastAsia="仿宋"/>
          <w:sz w:val="21"/>
        </w:rPr>
        <w:t>8.本项目产生的检测数据、分析结果及相关研究成果的知识产权归采购人所有。</w:t>
      </w:r>
    </w:p>
    <w:p>
      <w:pPr>
        <w:pStyle w:val="6"/>
        <w:spacing w:line="360" w:lineRule="auto"/>
        <w:ind w:firstLine="482"/>
        <w:contextualSpacing/>
        <w:rPr>
          <w:rFonts w:ascii="仿宋" w:hAnsi="仿宋" w:eastAsia="仿宋"/>
          <w:sz w:val="21"/>
        </w:rPr>
      </w:pPr>
      <w:r>
        <w:rPr>
          <w:rFonts w:hint="eastAsia" w:ascii="仿宋" w:hAnsi="仿宋" w:eastAsia="仿宋"/>
          <w:sz w:val="21"/>
        </w:rPr>
        <w:t>9.投标人应建立样品接收、登记、储存、处理、销毁的全流程管理制度，确保样品可追溯、可核查。</w:t>
      </w:r>
      <w:bookmarkEnd w:id="36"/>
      <w:r>
        <w:rPr>
          <w:rFonts w:hint="eastAsia" w:ascii="仿宋" w:hAnsi="仿宋" w:eastAsia="仿宋"/>
          <w:sz w:val="21"/>
        </w:rPr>
        <w:t>需安排专人上门接收样品，并提供取样人员名单及联系方式。</w:t>
      </w:r>
    </w:p>
    <w:p>
      <w:pPr>
        <w:pStyle w:val="6"/>
        <w:spacing w:line="360" w:lineRule="auto"/>
        <w:ind w:firstLine="482"/>
        <w:contextualSpacing/>
        <w:rPr>
          <w:rFonts w:ascii="仿宋" w:hAnsi="仿宋" w:eastAsia="仿宋"/>
          <w:b/>
          <w:sz w:val="21"/>
        </w:rPr>
      </w:pPr>
      <w:r>
        <w:rPr>
          <w:rFonts w:hint="eastAsia" w:ascii="仿宋" w:hAnsi="仿宋" w:eastAsia="仿宋"/>
          <w:b/>
          <w:sz w:val="21"/>
        </w:rPr>
        <w:t>（三）技术要求</w:t>
      </w:r>
    </w:p>
    <w:p>
      <w:pPr>
        <w:pStyle w:val="6"/>
        <w:spacing w:line="360" w:lineRule="auto"/>
        <w:ind w:firstLine="482"/>
        <w:contextualSpacing/>
        <w:rPr>
          <w:rFonts w:ascii="仿宋" w:hAnsi="仿宋" w:eastAsia="仿宋"/>
          <w:sz w:val="21"/>
        </w:rPr>
      </w:pPr>
      <w:r>
        <w:rPr>
          <w:rFonts w:hint="eastAsia" w:ascii="仿宋" w:hAnsi="仿宋" w:eastAsia="仿宋"/>
          <w:sz w:val="21"/>
        </w:rPr>
        <w:t>1、采用GC-MS衍生化法测定总肌醇含量。</w:t>
      </w:r>
    </w:p>
    <w:p>
      <w:pPr>
        <w:pStyle w:val="6"/>
        <w:spacing w:line="360" w:lineRule="auto"/>
        <w:ind w:firstLine="482"/>
        <w:contextualSpacing/>
        <w:rPr>
          <w:rFonts w:ascii="仿宋" w:hAnsi="仿宋" w:eastAsia="仿宋"/>
          <w:sz w:val="21"/>
        </w:rPr>
      </w:pPr>
      <w:r>
        <w:rPr>
          <w:rFonts w:hint="eastAsia" w:ascii="仿宋" w:hAnsi="仿宋" w:eastAsia="仿宋"/>
          <w:sz w:val="21"/>
        </w:rPr>
        <w:t>2、检测结果以对应计量单位表示，定量相对误差≤10%。</w:t>
      </w:r>
    </w:p>
    <w:p>
      <w:pPr>
        <w:pStyle w:val="6"/>
        <w:spacing w:line="360" w:lineRule="auto"/>
        <w:ind w:firstLine="482"/>
        <w:contextualSpacing/>
        <w:rPr>
          <w:rFonts w:ascii="仿宋" w:hAnsi="仿宋" w:eastAsia="仿宋"/>
          <w:sz w:val="21"/>
        </w:rPr>
      </w:pPr>
      <w:r>
        <w:rPr>
          <w:rFonts w:hint="eastAsia" w:ascii="仿宋" w:hAnsi="仿宋" w:eastAsia="仿宋"/>
          <w:sz w:val="21"/>
        </w:rPr>
        <w:t>3、特征离子/定量例子响应匹配度达到100%，检出限、精密度、回收率等指标符合《食品安全国家标准 实验室质量控制规范 食品理化检测》（GB/T 27404-2026）相关要求。</w:t>
      </w:r>
    </w:p>
    <w:p>
      <w:pPr>
        <w:pStyle w:val="6"/>
        <w:spacing w:line="360" w:lineRule="auto"/>
        <w:ind w:firstLine="482"/>
        <w:contextualSpacing/>
        <w:rPr>
          <w:rFonts w:ascii="仿宋" w:hAnsi="仿宋" w:eastAsia="仿宋"/>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6包 测试化验加工委托服务6</w:t>
      </w:r>
    </w:p>
    <w:p>
      <w:pPr>
        <w:pStyle w:val="6"/>
        <w:spacing w:line="360" w:lineRule="auto"/>
        <w:ind w:firstLine="482"/>
        <w:contextualSpacing/>
        <w:rPr>
          <w:rFonts w:ascii="仿宋" w:hAnsi="仿宋" w:eastAsia="仿宋"/>
          <w:b/>
          <w:sz w:val="21"/>
        </w:rPr>
      </w:pPr>
      <w:r>
        <w:rPr>
          <w:rFonts w:hint="eastAsia" w:ascii="仿宋" w:hAnsi="仿宋" w:eastAsia="仿宋"/>
          <w:b/>
          <w:sz w:val="21"/>
        </w:rPr>
        <w:t>（一）商务要求</w:t>
      </w:r>
    </w:p>
    <w:p>
      <w:pPr>
        <w:pStyle w:val="6"/>
        <w:spacing w:line="360" w:lineRule="auto"/>
        <w:ind w:firstLine="482"/>
        <w:contextualSpacing/>
        <w:rPr>
          <w:rFonts w:ascii="仿宋" w:hAnsi="仿宋" w:eastAsia="仿宋"/>
          <w:sz w:val="21"/>
        </w:rPr>
      </w:pPr>
      <w:r>
        <w:rPr>
          <w:rFonts w:hint="eastAsia" w:ascii="仿宋" w:hAnsi="仿宋" w:eastAsia="仿宋"/>
          <w:sz w:val="21"/>
        </w:rPr>
        <w:t>1.交付周期：样本数量为160例，多巴胺、谷氨酸两项指标检测完成周期为40个工作日，期满交付全部检测结果。</w:t>
      </w:r>
    </w:p>
    <w:p>
      <w:pPr>
        <w:pStyle w:val="6"/>
        <w:spacing w:line="360" w:lineRule="auto"/>
        <w:ind w:firstLine="482"/>
        <w:contextualSpacing/>
        <w:rPr>
          <w:rFonts w:ascii="仿宋" w:hAnsi="仿宋" w:eastAsia="仿宋"/>
          <w:sz w:val="21"/>
        </w:rPr>
      </w:pPr>
      <w:r>
        <w:rPr>
          <w:rFonts w:hint="eastAsia" w:ascii="仿宋" w:hAnsi="仿宋" w:eastAsia="仿宋"/>
          <w:sz w:val="21"/>
        </w:rPr>
        <w:t>2.质量保障：自检测数据验收无误当日起启动质保服务，质保一年。</w:t>
      </w:r>
    </w:p>
    <w:p>
      <w:pPr>
        <w:pStyle w:val="6"/>
        <w:spacing w:line="360" w:lineRule="auto"/>
        <w:ind w:firstLine="482"/>
        <w:contextualSpacing/>
        <w:rPr>
          <w:rFonts w:ascii="仿宋" w:hAnsi="仿宋" w:eastAsia="仿宋"/>
          <w:sz w:val="21"/>
        </w:rPr>
      </w:pPr>
      <w:r>
        <w:rPr>
          <w:rFonts w:hint="eastAsia" w:ascii="仿宋" w:hAnsi="仿宋" w:eastAsia="仿宋"/>
          <w:sz w:val="21"/>
        </w:rPr>
        <w:t>3.</w:t>
      </w:r>
      <w:bookmarkStart w:id="37" w:name="OLE_LINK9"/>
      <w:r>
        <w:rPr>
          <w:rFonts w:hint="eastAsia" w:ascii="仿宋" w:hAnsi="仿宋" w:eastAsia="仿宋"/>
          <w:sz w:val="21"/>
        </w:rPr>
        <w:t xml:space="preserve">数据管理：原始数据留存1年，支持移动硬盘、云盘传输，严格保密所有检测数据。 </w:t>
      </w:r>
      <w:bookmarkEnd w:id="37"/>
    </w:p>
    <w:p>
      <w:pPr>
        <w:pStyle w:val="6"/>
        <w:spacing w:line="360" w:lineRule="auto"/>
        <w:ind w:firstLine="482"/>
        <w:contextualSpacing/>
        <w:rPr>
          <w:rFonts w:ascii="仿宋" w:hAnsi="仿宋" w:eastAsia="仿宋"/>
          <w:sz w:val="21"/>
        </w:rPr>
      </w:pPr>
      <w:r>
        <w:rPr>
          <w:rFonts w:hint="eastAsia" w:ascii="仿宋" w:hAnsi="仿宋" w:eastAsia="仿宋"/>
          <w:sz w:val="21"/>
        </w:rPr>
        <w:t xml:space="preserve">4.样本保存期限：项目结题或终止后，投标人免费留存样本6个月，全程依据实验室管理规范妥善储存、管理所有样本。 </w:t>
      </w:r>
    </w:p>
    <w:p>
      <w:pPr>
        <w:pStyle w:val="6"/>
        <w:spacing w:line="360" w:lineRule="auto"/>
        <w:ind w:firstLine="482"/>
        <w:contextualSpacing/>
        <w:rPr>
          <w:rFonts w:ascii="仿宋" w:hAnsi="仿宋" w:eastAsia="仿宋"/>
          <w:sz w:val="21"/>
        </w:rPr>
      </w:pPr>
      <w:r>
        <w:rPr>
          <w:rFonts w:hint="eastAsia" w:ascii="仿宋" w:hAnsi="仿宋" w:eastAsia="仿宋"/>
          <w:sz w:val="21"/>
        </w:rPr>
        <w:t>5.售后服务：配备专职售后技术团队，提供持续性长效服务保障。项目结题后，采购人如有项目报告解读、数据结果分析方面的问题，可通过电话、邮件发起咨询，投标人接报后应立刻配合答疑、协助处置相关问题。</w:t>
      </w:r>
    </w:p>
    <w:p>
      <w:pPr>
        <w:pStyle w:val="6"/>
        <w:spacing w:line="360" w:lineRule="auto"/>
        <w:ind w:firstLine="482"/>
        <w:contextualSpacing/>
        <w:rPr>
          <w:rFonts w:ascii="仿宋" w:hAnsi="仿宋" w:eastAsia="仿宋"/>
          <w:sz w:val="21"/>
        </w:rPr>
      </w:pPr>
      <w:r>
        <w:rPr>
          <w:rFonts w:hint="eastAsia" w:ascii="仿宋" w:hAnsi="仿宋" w:eastAsia="仿宋"/>
          <w:sz w:val="21"/>
        </w:rPr>
        <w:t>6.技术支持：免费即时提供课题设计、数据解读、结果验证等全套技术支撑。</w:t>
      </w:r>
    </w:p>
    <w:p>
      <w:pPr>
        <w:pStyle w:val="6"/>
        <w:spacing w:line="360" w:lineRule="auto"/>
        <w:ind w:firstLine="482"/>
        <w:contextualSpacing/>
        <w:rPr>
          <w:rFonts w:ascii="仿宋" w:hAnsi="仿宋" w:eastAsia="仿宋"/>
          <w:sz w:val="21"/>
        </w:rPr>
      </w:pPr>
      <w:r>
        <w:rPr>
          <w:rFonts w:hint="eastAsia" w:ascii="仿宋" w:hAnsi="仿宋" w:eastAsia="仿宋"/>
          <w:sz w:val="21"/>
        </w:rPr>
        <w:t xml:space="preserve">7.交付及验收： </w:t>
      </w:r>
    </w:p>
    <w:p>
      <w:pPr>
        <w:pStyle w:val="6"/>
        <w:spacing w:line="360" w:lineRule="auto"/>
        <w:ind w:firstLine="482"/>
        <w:contextualSpacing/>
        <w:rPr>
          <w:rFonts w:ascii="仿宋" w:hAnsi="仿宋" w:eastAsia="仿宋"/>
          <w:sz w:val="21"/>
        </w:rPr>
      </w:pPr>
      <w:r>
        <w:rPr>
          <w:rFonts w:hint="eastAsia" w:ascii="仿宋" w:hAnsi="仿宋" w:eastAsia="仿宋"/>
          <w:sz w:val="21"/>
        </w:rPr>
        <w:t>7.1交付物：项目结题报告、原始数据和标准曲线。</w:t>
      </w:r>
    </w:p>
    <w:p>
      <w:pPr>
        <w:pStyle w:val="6"/>
        <w:spacing w:line="360" w:lineRule="auto"/>
        <w:ind w:firstLine="482"/>
        <w:contextualSpacing/>
        <w:rPr>
          <w:rFonts w:ascii="仿宋" w:hAnsi="仿宋" w:eastAsia="仿宋"/>
          <w:sz w:val="21"/>
        </w:rPr>
      </w:pPr>
      <w:r>
        <w:rPr>
          <w:rFonts w:hint="eastAsia" w:ascii="仿宋" w:hAnsi="仿宋" w:eastAsia="仿宋"/>
          <w:sz w:val="21"/>
        </w:rPr>
        <w:t>7.2验收流程：投标人邮件或者云盘发送结题报告和数据结果，采购人按合同标准验收；投标人配齐验收材料并保证内容真实。</w:t>
      </w:r>
    </w:p>
    <w:p>
      <w:pPr>
        <w:pStyle w:val="6"/>
        <w:spacing w:line="360" w:lineRule="auto"/>
        <w:ind w:firstLine="482"/>
        <w:contextualSpacing/>
        <w:rPr>
          <w:rFonts w:ascii="仿宋" w:hAnsi="仿宋" w:eastAsia="仿宋"/>
          <w:sz w:val="21"/>
        </w:rPr>
      </w:pPr>
      <w:r>
        <w:rPr>
          <w:rFonts w:hint="eastAsia" w:ascii="仿宋" w:hAnsi="仿宋" w:eastAsia="仿宋"/>
          <w:sz w:val="21"/>
        </w:rPr>
        <w:t>8.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contextualSpacing/>
        <w:rPr>
          <w:rFonts w:ascii="仿宋" w:hAnsi="仿宋" w:eastAsia="仿宋"/>
          <w:sz w:val="21"/>
        </w:rPr>
      </w:pPr>
      <w:r>
        <w:rPr>
          <w:rFonts w:hint="eastAsia" w:ascii="仿宋" w:hAnsi="仿宋" w:eastAsia="仿宋"/>
          <w:sz w:val="21"/>
        </w:rPr>
        <w:t>9.本项目产生的检测数据、分析结果及相关研究成果的知识产权归采购人所有。</w:t>
      </w:r>
    </w:p>
    <w:p>
      <w:pPr>
        <w:pStyle w:val="6"/>
        <w:spacing w:line="360" w:lineRule="auto"/>
        <w:ind w:firstLine="482"/>
        <w:contextualSpacing/>
        <w:rPr>
          <w:rFonts w:ascii="仿宋" w:hAnsi="仿宋" w:eastAsia="仿宋"/>
          <w:sz w:val="21"/>
        </w:rPr>
      </w:pPr>
      <w:r>
        <w:rPr>
          <w:rFonts w:hint="eastAsia" w:ascii="仿宋" w:hAnsi="仿宋" w:eastAsia="仿宋"/>
          <w:sz w:val="21"/>
        </w:rPr>
        <w:t>10.投标人应建立样品接收、登记、储存、处理、销毁的全流程管理制度，确保样品可追溯、可核查。</w:t>
      </w:r>
      <w:bookmarkStart w:id="38" w:name="OLE_LINK123"/>
      <w:bookmarkStart w:id="39" w:name="OLE_LINK126"/>
      <w:r>
        <w:rPr>
          <w:rFonts w:hint="eastAsia" w:ascii="仿宋" w:hAnsi="仿宋" w:eastAsia="仿宋"/>
          <w:sz w:val="21"/>
        </w:rPr>
        <w:t>需安排专人上门接收样品，并提供取样人员名单及联系方式。</w:t>
      </w:r>
      <w:bookmarkEnd w:id="38"/>
      <w:bookmarkEnd w:id="39"/>
    </w:p>
    <w:p>
      <w:pPr>
        <w:pStyle w:val="6"/>
        <w:spacing w:line="360" w:lineRule="auto"/>
        <w:ind w:firstLine="482"/>
        <w:contextualSpacing/>
        <w:rPr>
          <w:rFonts w:ascii="仿宋" w:hAnsi="仿宋" w:eastAsia="仿宋"/>
          <w:b/>
          <w:sz w:val="21"/>
        </w:rPr>
      </w:pPr>
      <w:r>
        <w:rPr>
          <w:rFonts w:hint="eastAsia" w:ascii="仿宋" w:hAnsi="仿宋" w:eastAsia="仿宋"/>
          <w:b/>
          <w:sz w:val="21"/>
        </w:rPr>
        <w:t>（二）技术要求</w:t>
      </w:r>
    </w:p>
    <w:p>
      <w:pPr>
        <w:pStyle w:val="6"/>
        <w:spacing w:line="360" w:lineRule="auto"/>
        <w:ind w:firstLine="482"/>
        <w:contextualSpacing/>
        <w:rPr>
          <w:rFonts w:ascii="仿宋" w:hAnsi="仿宋" w:eastAsia="仿宋"/>
          <w:sz w:val="21"/>
        </w:rPr>
      </w:pPr>
      <w:r>
        <w:rPr>
          <w:rFonts w:hint="eastAsia" w:ascii="仿宋" w:hAnsi="仿宋" w:eastAsia="仿宋"/>
          <w:sz w:val="21"/>
        </w:rPr>
        <w:t>1、检测平台</w:t>
      </w:r>
    </w:p>
    <w:p>
      <w:pPr>
        <w:pStyle w:val="6"/>
        <w:spacing w:line="360" w:lineRule="auto"/>
        <w:ind w:firstLine="482"/>
        <w:contextualSpacing/>
        <w:rPr>
          <w:rFonts w:ascii="仿宋" w:hAnsi="仿宋" w:eastAsia="仿宋"/>
          <w:sz w:val="21"/>
        </w:rPr>
      </w:pPr>
      <w:r>
        <w:rPr>
          <w:rFonts w:hint="eastAsia" w:ascii="仿宋" w:hAnsi="仿宋" w:eastAsia="仿宋"/>
          <w:sz w:val="21"/>
        </w:rPr>
        <w:t>1.1、检测样本：EDTA抗凝血浆；</w:t>
      </w:r>
    </w:p>
    <w:p>
      <w:pPr>
        <w:pStyle w:val="6"/>
        <w:spacing w:line="360" w:lineRule="auto"/>
        <w:ind w:firstLine="482"/>
        <w:contextualSpacing/>
        <w:rPr>
          <w:rFonts w:ascii="仿宋" w:hAnsi="仿宋" w:eastAsia="仿宋"/>
          <w:sz w:val="21"/>
        </w:rPr>
      </w:pPr>
      <w:r>
        <w:rPr>
          <w:rFonts w:hint="eastAsia" w:ascii="仿宋" w:hAnsi="仿宋" w:eastAsia="仿宋"/>
          <w:sz w:val="21"/>
        </w:rPr>
        <w:t>1.2、检测设备：超高效液相色谱</w:t>
      </w:r>
      <w:r>
        <w:rPr>
          <w:rFonts w:ascii="仿宋" w:hAnsi="仿宋" w:eastAsia="仿宋"/>
          <w:sz w:val="21"/>
        </w:rPr>
        <w:t>-</w:t>
      </w:r>
      <w:r>
        <w:rPr>
          <w:rFonts w:hint="eastAsia" w:ascii="仿宋" w:hAnsi="仿宋" w:eastAsia="仿宋"/>
          <w:sz w:val="21"/>
        </w:rPr>
        <w:t>串联质谱仪（</w:t>
      </w:r>
      <w:r>
        <w:rPr>
          <w:rFonts w:ascii="仿宋" w:hAnsi="仿宋" w:eastAsia="仿宋"/>
          <w:sz w:val="21"/>
        </w:rPr>
        <w:t>UPLC</w:t>
      </w:r>
      <w:r>
        <w:rPr>
          <w:rFonts w:hint="eastAsia" w:ascii="MS Gothic" w:hAnsi="MS Gothic" w:eastAsia="MS Gothic" w:cs="MS Gothic"/>
          <w:sz w:val="21"/>
        </w:rPr>
        <w:t>‑</w:t>
      </w:r>
      <w:r>
        <w:rPr>
          <w:rFonts w:ascii="仿宋" w:hAnsi="仿宋" w:eastAsia="仿宋"/>
          <w:sz w:val="21"/>
        </w:rPr>
        <w:t>MS/MS</w:t>
      </w:r>
      <w:r>
        <w:rPr>
          <w:rFonts w:hint="eastAsia" w:ascii="仿宋" w:hAnsi="仿宋" w:eastAsia="仿宋"/>
          <w:sz w:val="21"/>
        </w:rPr>
        <w:t>）；</w:t>
      </w:r>
    </w:p>
    <w:p>
      <w:pPr>
        <w:pStyle w:val="6"/>
        <w:spacing w:line="360" w:lineRule="auto"/>
        <w:ind w:firstLine="482"/>
        <w:contextualSpacing/>
        <w:rPr>
          <w:rFonts w:ascii="仿宋" w:hAnsi="仿宋" w:eastAsia="仿宋"/>
          <w:sz w:val="21"/>
        </w:rPr>
      </w:pPr>
      <w:r>
        <w:rPr>
          <w:rFonts w:hint="eastAsia" w:ascii="仿宋" w:hAnsi="仿宋" w:eastAsia="仿宋"/>
          <w:sz w:val="21"/>
        </w:rPr>
        <w:t>1.3、样本前处理：低温离心分离血浆，无溶血、无脂血；分装后 -80℃避光冻存，杜绝反复冻融；多巴胺全程低温避光操作防止氧化降解。</w:t>
      </w:r>
    </w:p>
    <w:p>
      <w:pPr>
        <w:pStyle w:val="6"/>
        <w:spacing w:line="360" w:lineRule="auto"/>
        <w:ind w:firstLine="482"/>
        <w:contextualSpacing/>
        <w:rPr>
          <w:rFonts w:ascii="仿宋" w:hAnsi="仿宋" w:eastAsia="仿宋"/>
          <w:sz w:val="21"/>
        </w:rPr>
      </w:pPr>
      <w:r>
        <w:rPr>
          <w:rFonts w:hint="eastAsia" w:ascii="仿宋" w:hAnsi="仿宋" w:eastAsia="仿宋"/>
          <w:sz w:val="21"/>
        </w:rPr>
        <w:t>2、多巴胺和谷氨酸性能指标</w:t>
      </w:r>
    </w:p>
    <w:p>
      <w:pPr>
        <w:pStyle w:val="6"/>
        <w:spacing w:line="360" w:lineRule="auto"/>
        <w:ind w:firstLine="482"/>
        <w:contextualSpacing/>
        <w:rPr>
          <w:rFonts w:ascii="仿宋" w:hAnsi="仿宋" w:eastAsia="仿宋"/>
          <w:sz w:val="21"/>
        </w:rPr>
      </w:pPr>
      <w:r>
        <w:rPr>
          <w:rFonts w:hint="eastAsia" w:ascii="仿宋" w:hAnsi="仿宋" w:eastAsia="仿宋"/>
          <w:sz w:val="21"/>
        </w:rPr>
        <w:t>2.1</w:t>
      </w:r>
      <w:bookmarkStart w:id="40" w:name="OLE_LINK10"/>
      <w:r>
        <w:rPr>
          <w:rFonts w:hint="eastAsia" w:ascii="仿宋" w:hAnsi="仿宋" w:eastAsia="仿宋"/>
          <w:sz w:val="21"/>
        </w:rPr>
        <w:t>、多巴胺</w:t>
      </w:r>
      <w:bookmarkEnd w:id="40"/>
      <w:r>
        <w:rPr>
          <w:rFonts w:hint="eastAsia" w:ascii="仿宋" w:hAnsi="仿宋" w:eastAsia="仿宋"/>
          <w:sz w:val="21"/>
        </w:rPr>
        <w:t xml:space="preserve">（DA） </w:t>
      </w:r>
    </w:p>
    <w:p>
      <w:pPr>
        <w:pStyle w:val="6"/>
        <w:spacing w:line="360" w:lineRule="auto"/>
        <w:ind w:firstLine="482"/>
        <w:contextualSpacing/>
        <w:rPr>
          <w:rFonts w:ascii="仿宋" w:hAnsi="仿宋" w:eastAsia="仿宋"/>
          <w:sz w:val="21"/>
        </w:rPr>
      </w:pPr>
      <w:r>
        <w:rPr>
          <w:rFonts w:hint="eastAsia" w:ascii="仿宋" w:hAnsi="仿宋" w:eastAsia="仿宋"/>
          <w:sz w:val="21"/>
        </w:rPr>
        <w:t>2.1.1、定量线性范围：0.5 pg/mL～500 pg/mL；</w:t>
      </w:r>
    </w:p>
    <w:p>
      <w:pPr>
        <w:pStyle w:val="6"/>
        <w:spacing w:line="360" w:lineRule="auto"/>
        <w:ind w:firstLine="482"/>
        <w:contextualSpacing/>
        <w:rPr>
          <w:rFonts w:ascii="仿宋" w:hAnsi="仿宋" w:eastAsia="仿宋"/>
          <w:sz w:val="21"/>
        </w:rPr>
      </w:pPr>
      <w:r>
        <w:rPr>
          <w:rFonts w:hint="eastAsia" w:ascii="仿宋" w:hAnsi="仿宋" w:eastAsia="仿宋"/>
          <w:sz w:val="21"/>
        </w:rPr>
        <w:t>2.1.2、检出限 LOD：≤0.1 pg/mL，定量限 LOQ：≤0.5 pg/mL；</w:t>
      </w:r>
    </w:p>
    <w:p>
      <w:pPr>
        <w:pStyle w:val="6"/>
        <w:spacing w:line="360" w:lineRule="auto"/>
        <w:ind w:firstLine="482"/>
        <w:contextualSpacing/>
        <w:rPr>
          <w:rFonts w:ascii="仿宋" w:hAnsi="仿宋" w:eastAsia="仿宋"/>
          <w:sz w:val="21"/>
        </w:rPr>
      </w:pPr>
      <w:r>
        <w:rPr>
          <w:rFonts w:hint="eastAsia" w:ascii="仿宋" w:hAnsi="仿宋" w:eastAsia="仿宋"/>
          <w:sz w:val="21"/>
        </w:rPr>
        <w:t>2.1.3、精密度：批内 CV≤20%，批间 CV≤20%；</w:t>
      </w:r>
    </w:p>
    <w:p>
      <w:pPr>
        <w:pStyle w:val="6"/>
        <w:spacing w:line="360" w:lineRule="auto"/>
        <w:ind w:firstLine="482"/>
        <w:contextualSpacing/>
        <w:rPr>
          <w:rFonts w:ascii="仿宋" w:hAnsi="仿宋" w:eastAsia="仿宋"/>
          <w:sz w:val="21"/>
        </w:rPr>
      </w:pPr>
      <w:r>
        <w:rPr>
          <w:rFonts w:hint="eastAsia" w:ascii="仿宋" w:hAnsi="仿宋" w:eastAsia="仿宋"/>
          <w:sz w:val="21"/>
        </w:rPr>
        <w:t>2.2</w:t>
      </w:r>
      <w:bookmarkStart w:id="41" w:name="OLE_LINK11"/>
      <w:r>
        <w:rPr>
          <w:rFonts w:hint="eastAsia" w:ascii="仿宋" w:hAnsi="仿宋" w:eastAsia="仿宋"/>
          <w:sz w:val="21"/>
        </w:rPr>
        <w:t>、谷氨酸</w:t>
      </w:r>
      <w:bookmarkEnd w:id="41"/>
      <w:r>
        <w:rPr>
          <w:rFonts w:hint="eastAsia" w:ascii="仿宋" w:hAnsi="仿宋" w:eastAsia="仿宋"/>
          <w:sz w:val="21"/>
        </w:rPr>
        <w:t xml:space="preserve">（Glu） </w:t>
      </w:r>
    </w:p>
    <w:p>
      <w:pPr>
        <w:pStyle w:val="6"/>
        <w:spacing w:line="360" w:lineRule="auto"/>
        <w:ind w:firstLine="482"/>
        <w:contextualSpacing/>
        <w:rPr>
          <w:rFonts w:ascii="仿宋" w:hAnsi="仿宋" w:eastAsia="仿宋"/>
          <w:sz w:val="21"/>
        </w:rPr>
      </w:pPr>
      <w:r>
        <w:rPr>
          <w:rFonts w:hint="eastAsia" w:ascii="仿宋" w:hAnsi="仿宋" w:eastAsia="仿宋"/>
          <w:sz w:val="21"/>
        </w:rPr>
        <w:t>2.2.1、定量线性范围：5μmol/L～800μmol/L；</w:t>
      </w:r>
    </w:p>
    <w:p>
      <w:pPr>
        <w:pStyle w:val="6"/>
        <w:spacing w:line="360" w:lineRule="auto"/>
        <w:ind w:firstLine="482"/>
        <w:contextualSpacing/>
        <w:rPr>
          <w:rFonts w:ascii="仿宋" w:hAnsi="仿宋" w:eastAsia="仿宋"/>
          <w:sz w:val="21"/>
        </w:rPr>
      </w:pPr>
      <w:r>
        <w:rPr>
          <w:rFonts w:hint="eastAsia" w:ascii="仿宋" w:hAnsi="仿宋" w:eastAsia="仿宋"/>
          <w:sz w:val="21"/>
        </w:rPr>
        <w:t>2.2.2、检出限 LOD：≤0.5μmol/L，定量限 LOQ：≤1μmol/L；</w:t>
      </w:r>
    </w:p>
    <w:p>
      <w:pPr>
        <w:pStyle w:val="6"/>
        <w:spacing w:line="360" w:lineRule="auto"/>
        <w:ind w:firstLine="482"/>
        <w:contextualSpacing/>
        <w:rPr>
          <w:rFonts w:ascii="仿宋" w:hAnsi="仿宋" w:eastAsia="仿宋"/>
          <w:sz w:val="21"/>
        </w:rPr>
      </w:pPr>
      <w:r>
        <w:rPr>
          <w:rFonts w:hint="eastAsia" w:ascii="仿宋" w:hAnsi="仿宋" w:eastAsia="仿宋"/>
          <w:sz w:val="21"/>
        </w:rPr>
        <w:t>2.2.3、精密度：批内 CV≤20%，批间 CV≤20%；</w:t>
      </w:r>
    </w:p>
    <w:p>
      <w:pPr>
        <w:pStyle w:val="6"/>
        <w:spacing w:line="360" w:lineRule="auto"/>
        <w:ind w:firstLine="482"/>
        <w:contextualSpacing/>
        <w:rPr>
          <w:rFonts w:ascii="仿宋" w:hAnsi="仿宋" w:eastAsia="仿宋"/>
          <w:sz w:val="21"/>
        </w:rPr>
      </w:pPr>
      <w:r>
        <w:rPr>
          <w:rFonts w:hint="eastAsia" w:ascii="仿宋" w:hAnsi="仿宋" w:eastAsia="仿宋"/>
          <w:sz w:val="21"/>
        </w:rPr>
        <w:t>2.2.4、多巴胺和谷氨酸均需设置稳定同位素内标校正。</w:t>
      </w:r>
    </w:p>
    <w:p>
      <w:pPr>
        <w:pStyle w:val="6"/>
        <w:spacing w:line="360" w:lineRule="auto"/>
        <w:ind w:firstLine="482"/>
        <w:contextualSpacing/>
        <w:rPr>
          <w:rFonts w:ascii="仿宋" w:hAnsi="仿宋" w:eastAsia="仿宋"/>
          <w:sz w:val="21"/>
        </w:rPr>
      </w:pPr>
      <w:r>
        <w:rPr>
          <w:rFonts w:hint="eastAsia" w:ascii="仿宋" w:hAnsi="仿宋" w:eastAsia="仿宋"/>
          <w:sz w:val="21"/>
        </w:rPr>
        <w:t>3、色谱质谱关键参数</w:t>
      </w:r>
    </w:p>
    <w:p>
      <w:pPr>
        <w:pStyle w:val="6"/>
        <w:spacing w:line="360" w:lineRule="auto"/>
        <w:ind w:firstLine="482"/>
        <w:contextualSpacing/>
        <w:rPr>
          <w:rFonts w:ascii="仿宋" w:hAnsi="仿宋" w:eastAsia="仿宋"/>
          <w:sz w:val="21"/>
        </w:rPr>
      </w:pPr>
      <w:r>
        <w:rPr>
          <w:rFonts w:hint="eastAsia" w:ascii="仿宋" w:hAnsi="仿宋" w:eastAsia="仿宋"/>
          <w:sz w:val="21"/>
        </w:rPr>
        <w:t>3.1、色谱柱：可以实现待测物色谱峰有效分离，基线噪声低；作为UPLC色谱柱可以承受较高压力。柱长100 mm，粒径1.8μm；</w:t>
      </w:r>
    </w:p>
    <w:p>
      <w:pPr>
        <w:pStyle w:val="6"/>
        <w:spacing w:line="360" w:lineRule="auto"/>
        <w:ind w:firstLine="482"/>
        <w:contextualSpacing/>
        <w:rPr>
          <w:rFonts w:ascii="仿宋" w:hAnsi="仿宋" w:eastAsia="仿宋"/>
          <w:sz w:val="21"/>
        </w:rPr>
      </w:pPr>
      <w:r>
        <w:rPr>
          <w:rFonts w:hint="eastAsia" w:ascii="仿宋" w:hAnsi="仿宋" w:eastAsia="仿宋"/>
          <w:sz w:val="21"/>
        </w:rPr>
        <w:t>3.2、流速：0.25 mL/min，柱温 40℃，样品仓 4℃；</w:t>
      </w:r>
    </w:p>
    <w:p>
      <w:pPr>
        <w:pStyle w:val="6"/>
        <w:spacing w:line="360" w:lineRule="auto"/>
        <w:ind w:firstLine="482"/>
        <w:contextualSpacing/>
        <w:rPr>
          <w:rFonts w:ascii="仿宋" w:hAnsi="仿宋" w:eastAsia="仿宋"/>
          <w:sz w:val="21"/>
        </w:rPr>
      </w:pPr>
      <w:r>
        <w:rPr>
          <w:rFonts w:hint="eastAsia" w:ascii="仿宋" w:hAnsi="仿宋" w:eastAsia="仿宋"/>
          <w:sz w:val="21"/>
        </w:rPr>
        <w:t>3.3、离子模式：ESI 正离子模式，MRM 多反应监测采集；</w:t>
      </w:r>
    </w:p>
    <w:p>
      <w:pPr>
        <w:pStyle w:val="6"/>
        <w:spacing w:line="360" w:lineRule="auto"/>
        <w:ind w:firstLine="482"/>
        <w:contextualSpacing/>
        <w:rPr>
          <w:rFonts w:ascii="仿宋" w:hAnsi="仿宋" w:eastAsia="仿宋"/>
          <w:sz w:val="21"/>
        </w:rPr>
      </w:pPr>
      <w:r>
        <w:rPr>
          <w:rFonts w:hint="eastAsia" w:ascii="仿宋" w:hAnsi="仿宋" w:eastAsia="仿宋"/>
          <w:sz w:val="21"/>
        </w:rPr>
        <w:t>3.4、洗脱方式：梯度洗脱，一针同步检测多巴胺和谷氨酸双指标。</w:t>
      </w:r>
    </w:p>
    <w:p>
      <w:pPr>
        <w:pStyle w:val="6"/>
        <w:spacing w:line="360" w:lineRule="auto"/>
        <w:ind w:firstLine="482"/>
        <w:contextualSpacing/>
        <w:rPr>
          <w:rFonts w:ascii="仿宋" w:hAnsi="仿宋" w:eastAsia="仿宋"/>
          <w:sz w:val="21"/>
        </w:rPr>
      </w:pPr>
      <w:r>
        <w:rPr>
          <w:rFonts w:hint="eastAsia" w:ascii="仿宋" w:hAnsi="仿宋" w:eastAsia="仿宋"/>
          <w:sz w:val="21"/>
        </w:rPr>
        <w:t>4、交付与质控标准</w:t>
      </w:r>
    </w:p>
    <w:p>
      <w:pPr>
        <w:pStyle w:val="6"/>
        <w:spacing w:line="360" w:lineRule="auto"/>
        <w:ind w:firstLine="482"/>
        <w:contextualSpacing/>
        <w:rPr>
          <w:rFonts w:ascii="仿宋" w:hAnsi="仿宋" w:eastAsia="仿宋"/>
          <w:sz w:val="21"/>
        </w:rPr>
      </w:pPr>
      <w:r>
        <w:rPr>
          <w:rFonts w:hint="eastAsia" w:ascii="仿宋" w:hAnsi="仿宋" w:eastAsia="仿宋"/>
          <w:sz w:val="21"/>
        </w:rPr>
        <w:t>4.1、交付周期：40个工作日出具全套检测结果；</w:t>
      </w:r>
    </w:p>
    <w:p>
      <w:pPr>
        <w:pStyle w:val="6"/>
        <w:spacing w:line="360" w:lineRule="auto"/>
        <w:ind w:firstLine="482"/>
        <w:contextualSpacing/>
        <w:rPr>
          <w:rFonts w:ascii="仿宋" w:hAnsi="仿宋" w:eastAsia="仿宋"/>
          <w:sz w:val="21"/>
        </w:rPr>
      </w:pPr>
      <w:r>
        <w:rPr>
          <w:rFonts w:hint="eastAsia" w:ascii="仿宋" w:hAnsi="仿宋" w:eastAsia="仿宋"/>
          <w:sz w:val="21"/>
        </w:rPr>
        <w:t>4.2、质控体系：每批次设置低、中、高3个浓度质控样本，质控结果合格后方可出具报告；</w:t>
      </w:r>
    </w:p>
    <w:p>
      <w:pPr>
        <w:pStyle w:val="6"/>
        <w:spacing w:line="360" w:lineRule="auto"/>
        <w:ind w:firstLine="482"/>
        <w:contextualSpacing/>
        <w:rPr>
          <w:rFonts w:ascii="仿宋" w:hAnsi="仿宋" w:eastAsia="仿宋"/>
          <w:sz w:val="21"/>
        </w:rPr>
      </w:pPr>
      <w:r>
        <w:rPr>
          <w:rFonts w:hint="eastAsia" w:ascii="仿宋" w:hAnsi="仿宋" w:eastAsia="仿宋"/>
          <w:sz w:val="21"/>
        </w:rPr>
        <w:t>4.3、原始数据保存：原始质谱、色谱数据完整存储1年，可通过移动硬盘、云盘两种方式传输交付；</w:t>
      </w:r>
    </w:p>
    <w:p>
      <w:pPr>
        <w:pStyle w:val="6"/>
        <w:spacing w:line="360" w:lineRule="auto"/>
        <w:ind w:firstLine="482"/>
        <w:contextualSpacing/>
        <w:rPr>
          <w:rFonts w:ascii="仿宋" w:hAnsi="仿宋" w:eastAsia="仿宋"/>
          <w:sz w:val="21"/>
        </w:rPr>
      </w:pPr>
      <w:r>
        <w:rPr>
          <w:rFonts w:hint="eastAsia" w:ascii="仿宋" w:hAnsi="仿宋" w:eastAsia="仿宋"/>
          <w:sz w:val="21"/>
        </w:rPr>
        <w:t>4.5、保密要求：对所有受试者样本信息、检测数值、实验数据承担全程保密义务。</w:t>
      </w:r>
    </w:p>
    <w:p>
      <w:pPr>
        <w:pStyle w:val="6"/>
        <w:spacing w:line="360" w:lineRule="auto"/>
        <w:ind w:firstLine="482"/>
        <w:contextualSpacing/>
        <w:rPr>
          <w:rFonts w:ascii="仿宋" w:hAnsi="仿宋" w:eastAsia="仿宋"/>
          <w:sz w:val="21"/>
        </w:rPr>
      </w:pPr>
      <w:r>
        <w:rPr>
          <w:rFonts w:hint="eastAsia" w:ascii="仿宋" w:hAnsi="仿宋" w:eastAsia="仿宋"/>
          <w:sz w:val="21"/>
        </w:rPr>
        <w:t>5、配套技术服务</w:t>
      </w:r>
    </w:p>
    <w:p>
      <w:pPr>
        <w:pStyle w:val="6"/>
        <w:spacing w:line="360" w:lineRule="auto"/>
        <w:ind w:firstLine="482"/>
        <w:contextualSpacing/>
        <w:rPr>
          <w:rFonts w:ascii="仿宋" w:hAnsi="仿宋" w:eastAsia="仿宋"/>
          <w:sz w:val="21"/>
        </w:rPr>
      </w:pPr>
      <w:r>
        <w:rPr>
          <w:rFonts w:hint="eastAsia" w:ascii="仿宋" w:hAnsi="仿宋" w:eastAsia="仿宋"/>
          <w:sz w:val="21"/>
        </w:rPr>
        <w:t>5.1、免费技术支持：课题方案设计、数据图谱解读、结果验证答疑；</w:t>
      </w:r>
    </w:p>
    <w:p>
      <w:pPr>
        <w:pStyle w:val="6"/>
        <w:spacing w:line="360" w:lineRule="auto"/>
        <w:ind w:firstLine="482"/>
        <w:contextualSpacing/>
        <w:rPr>
          <w:rFonts w:ascii="仿宋" w:hAnsi="仿宋" w:eastAsia="仿宋"/>
          <w:sz w:val="21"/>
        </w:rPr>
      </w:pPr>
      <w:r>
        <w:rPr>
          <w:rFonts w:hint="eastAsia" w:ascii="仿宋" w:hAnsi="仿宋" w:eastAsia="仿宋"/>
          <w:sz w:val="21"/>
        </w:rPr>
        <w:t>5.2、样本保管：项目结题或终止后，免费代为留存样本半年，严格遵循实验室冷链储存规范管理；</w:t>
      </w:r>
    </w:p>
    <w:p>
      <w:pPr>
        <w:pStyle w:val="6"/>
        <w:spacing w:line="360" w:lineRule="auto"/>
        <w:ind w:firstLine="482"/>
        <w:contextualSpacing/>
        <w:rPr>
          <w:rFonts w:ascii="仿宋" w:hAnsi="仿宋" w:eastAsia="仿宋"/>
          <w:sz w:val="21"/>
        </w:rPr>
      </w:pPr>
      <w:r>
        <w:rPr>
          <w:rFonts w:hint="eastAsia" w:ascii="仿宋" w:hAnsi="仿宋" w:eastAsia="仿宋"/>
          <w:sz w:val="21"/>
        </w:rPr>
        <w:t>5.3、质保服务：自采购人验收数据合格之日起提供质保服务，质保一年。</w:t>
      </w:r>
    </w:p>
    <w:p>
      <w:pPr>
        <w:pStyle w:val="6"/>
        <w:spacing w:line="360" w:lineRule="auto"/>
        <w:ind w:firstLine="482"/>
        <w:contextualSpacing/>
        <w:rPr>
          <w:rFonts w:ascii="仿宋" w:hAnsi="仿宋" w:eastAsia="仿宋"/>
          <w:b/>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7包 测试化验加工委托服务7</w:t>
      </w:r>
    </w:p>
    <w:p>
      <w:pPr>
        <w:pStyle w:val="6"/>
        <w:spacing w:line="360" w:lineRule="auto"/>
        <w:ind w:firstLine="482"/>
        <w:contextualSpacing/>
        <w:rPr>
          <w:rFonts w:ascii="仿宋" w:hAnsi="仿宋" w:eastAsia="仿宋"/>
          <w:b/>
          <w:sz w:val="21"/>
        </w:rPr>
      </w:pPr>
      <w:r>
        <w:rPr>
          <w:rFonts w:hint="eastAsia" w:ascii="仿宋" w:hAnsi="仿宋" w:eastAsia="仿宋"/>
          <w:b/>
          <w:sz w:val="21"/>
        </w:rPr>
        <w:t>（一）委托服务</w:t>
      </w:r>
    </w:p>
    <w:tbl>
      <w:tblPr>
        <w:tblStyle w:val="14"/>
        <w:tblW w:w="5042" w:type="pct"/>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autofit"/>
        <w:tblCellMar>
          <w:top w:w="0" w:type="dxa"/>
          <w:left w:w="10" w:type="dxa"/>
          <w:bottom w:w="0" w:type="dxa"/>
          <w:right w:w="10" w:type="dxa"/>
        </w:tblCellMar>
      </w:tblPr>
      <w:tblGrid>
        <w:gridCol w:w="853"/>
        <w:gridCol w:w="3338"/>
        <w:gridCol w:w="1766"/>
        <w:gridCol w:w="251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2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cs="宋体"/>
                <w:b/>
                <w:szCs w:val="21"/>
              </w:rPr>
            </w:pPr>
            <w:r>
              <w:rPr>
                <w:rFonts w:hint="eastAsia" w:ascii="仿宋" w:hAnsi="仿宋" w:eastAsia="仿宋" w:cs="宋体"/>
                <w:b/>
                <w:kern w:val="0"/>
                <w:szCs w:val="21"/>
                <w:lang w:val="zh-TW" w:eastAsia="zh-TW"/>
              </w:rPr>
              <w:t>序号</w:t>
            </w:r>
          </w:p>
        </w:tc>
        <w:tc>
          <w:tcPr>
            <w:tcW w:w="197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cs="宋体"/>
                <w:b/>
                <w:szCs w:val="21"/>
              </w:rPr>
            </w:pPr>
            <w:r>
              <w:rPr>
                <w:rFonts w:hint="eastAsia" w:ascii="仿宋" w:hAnsi="仿宋" w:eastAsia="仿宋" w:cs="宋体"/>
                <w:b/>
                <w:bCs/>
                <w:kern w:val="0"/>
                <w:szCs w:val="21"/>
                <w:lang w:val="zh-TW"/>
              </w:rPr>
              <w:t>检验检测项目</w:t>
            </w:r>
          </w:p>
        </w:tc>
        <w:tc>
          <w:tcPr>
            <w:tcW w:w="104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cs="宋体"/>
                <w:b/>
                <w:szCs w:val="21"/>
              </w:rPr>
            </w:pPr>
            <w:r>
              <w:rPr>
                <w:rFonts w:hint="eastAsia" w:ascii="仿宋" w:hAnsi="仿宋" w:eastAsia="仿宋" w:cs="宋体"/>
                <w:b/>
                <w:kern w:val="0"/>
                <w:szCs w:val="21"/>
                <w:lang w:val="zh-TW" w:eastAsia="zh-TW"/>
              </w:rPr>
              <w:t>数量</w:t>
            </w:r>
          </w:p>
        </w:tc>
        <w:tc>
          <w:tcPr>
            <w:tcW w:w="1482" w:type="pct"/>
            <w:tcBorders>
              <w:top w:val="single" w:color="000000" w:sz="4" w:space="0"/>
              <w:left w:val="single" w:color="000000" w:sz="4" w:space="0"/>
              <w:bottom w:val="single" w:color="000000" w:sz="4" w:space="0"/>
              <w:right w:val="single" w:color="000000" w:sz="4" w:space="0"/>
            </w:tcBorders>
            <w:shd w:val="clear" w:color="auto" w:fill="CDD4E9"/>
            <w:vAlign w:val="center"/>
          </w:tcPr>
          <w:p>
            <w:pPr>
              <w:widowControl/>
              <w:spacing w:line="276" w:lineRule="auto"/>
              <w:jc w:val="center"/>
              <w:rPr>
                <w:rFonts w:ascii="仿宋" w:hAnsi="仿宋" w:eastAsia="仿宋" w:cs="宋体"/>
                <w:b/>
                <w:kern w:val="0"/>
                <w:szCs w:val="21"/>
                <w:lang w:val="zh-TW"/>
              </w:rPr>
            </w:pPr>
            <w:r>
              <w:rPr>
                <w:rFonts w:hint="eastAsia" w:ascii="仿宋" w:hAnsi="仿宋" w:eastAsia="仿宋" w:cs="宋体"/>
                <w:b/>
                <w:kern w:val="0"/>
                <w:szCs w:val="21"/>
                <w:lang w:val="zh-TW" w:eastAsia="zh-TW"/>
              </w:rPr>
              <w:t>单价限价（人民币元）</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128"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kern w:val="0"/>
                <w:szCs w:val="21"/>
              </w:rPr>
              <w:t>1</w:t>
            </w:r>
          </w:p>
        </w:tc>
        <w:tc>
          <w:tcPr>
            <w:tcW w:w="197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ascii="仿宋" w:hAnsi="仿宋" w:eastAsia="仿宋"/>
                <w:szCs w:val="21"/>
              </w:rPr>
              <w:t>CRP</w:t>
            </w:r>
          </w:p>
        </w:tc>
        <w:tc>
          <w:tcPr>
            <w:tcW w:w="104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szCs w:val="21"/>
              </w:rPr>
              <w:t>1200项</w:t>
            </w:r>
          </w:p>
        </w:tc>
        <w:tc>
          <w:tcPr>
            <w:tcW w:w="1482" w:type="pct"/>
            <w:tcBorders>
              <w:top w:val="single" w:color="000000" w:sz="4" w:space="0"/>
              <w:left w:val="single" w:color="000000" w:sz="4" w:space="0"/>
              <w:bottom w:val="single" w:color="000000" w:sz="4" w:space="0"/>
              <w:right w:val="single" w:color="000000" w:sz="4" w:space="0"/>
            </w:tcBorders>
            <w:shd w:val="clear" w:color="auto" w:fill="CDD4E9"/>
            <w:vAlign w:val="center"/>
          </w:tcPr>
          <w:p>
            <w:pPr>
              <w:widowControl/>
              <w:spacing w:line="276" w:lineRule="auto"/>
              <w:jc w:val="center"/>
              <w:rPr>
                <w:rFonts w:ascii="仿宋" w:hAnsi="仿宋" w:eastAsia="仿宋"/>
                <w:szCs w:val="21"/>
              </w:rPr>
            </w:pPr>
            <w:r>
              <w:rPr>
                <w:rFonts w:hint="eastAsia" w:ascii="仿宋" w:hAnsi="仿宋" w:eastAsia="仿宋"/>
                <w:szCs w:val="21"/>
              </w:rPr>
              <w:t>30.00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9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kern w:val="0"/>
                <w:szCs w:val="21"/>
              </w:rPr>
            </w:pPr>
            <w:r>
              <w:rPr>
                <w:rFonts w:hint="eastAsia" w:ascii="仿宋" w:hAnsi="仿宋" w:eastAsia="仿宋"/>
                <w:kern w:val="0"/>
                <w:szCs w:val="21"/>
              </w:rPr>
              <w:t>2</w:t>
            </w:r>
          </w:p>
        </w:tc>
        <w:tc>
          <w:tcPr>
            <w:tcW w:w="197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szCs w:val="21"/>
              </w:rPr>
              <w:t>白细胞介素</w:t>
            </w:r>
            <w:r>
              <w:rPr>
                <w:rFonts w:hint="eastAsia" w:ascii="MS Gothic" w:hAnsi="MS Gothic" w:eastAsia="MS Gothic" w:cs="MS Gothic"/>
                <w:szCs w:val="21"/>
              </w:rPr>
              <w:t>‑</w:t>
            </w:r>
            <w:r>
              <w:rPr>
                <w:rFonts w:ascii="仿宋" w:hAnsi="仿宋" w:eastAsia="仿宋"/>
                <w:szCs w:val="21"/>
              </w:rPr>
              <w:t>6</w:t>
            </w:r>
          </w:p>
        </w:tc>
        <w:tc>
          <w:tcPr>
            <w:tcW w:w="104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kern w:val="0"/>
                <w:szCs w:val="21"/>
              </w:rPr>
            </w:pPr>
            <w:r>
              <w:rPr>
                <w:rFonts w:hint="eastAsia" w:ascii="仿宋" w:hAnsi="仿宋" w:eastAsia="仿宋"/>
                <w:szCs w:val="21"/>
              </w:rPr>
              <w:t>1200项</w:t>
            </w:r>
          </w:p>
        </w:tc>
        <w:tc>
          <w:tcPr>
            <w:tcW w:w="1482" w:type="pct"/>
            <w:tcBorders>
              <w:top w:val="single" w:color="000000" w:sz="4" w:space="0"/>
              <w:left w:val="single" w:color="000000" w:sz="4" w:space="0"/>
              <w:bottom w:val="single" w:color="000000" w:sz="4" w:space="0"/>
              <w:right w:val="single" w:color="000000" w:sz="4" w:space="0"/>
            </w:tcBorders>
            <w:shd w:val="clear" w:color="auto" w:fill="CDD4E9"/>
            <w:vAlign w:val="center"/>
          </w:tcPr>
          <w:p>
            <w:pPr>
              <w:widowControl/>
              <w:spacing w:line="276" w:lineRule="auto"/>
              <w:jc w:val="center"/>
              <w:rPr>
                <w:rFonts w:ascii="仿宋" w:hAnsi="仿宋" w:eastAsia="仿宋"/>
                <w:szCs w:val="21"/>
              </w:rPr>
            </w:pPr>
            <w:r>
              <w:rPr>
                <w:rFonts w:hint="eastAsia" w:ascii="仿宋" w:hAnsi="仿宋" w:eastAsia="仿宋"/>
                <w:szCs w:val="21"/>
              </w:rPr>
              <w:t>40.00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10" w:type="dxa"/>
            <w:bottom w:w="0" w:type="dxa"/>
            <w:right w:w="10" w:type="dxa"/>
          </w:tblCellMar>
        </w:tblPrEx>
        <w:trPr>
          <w:trHeight w:val="9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kern w:val="0"/>
                <w:szCs w:val="21"/>
              </w:rPr>
            </w:pPr>
            <w:r>
              <w:rPr>
                <w:rFonts w:hint="eastAsia" w:ascii="仿宋" w:hAnsi="仿宋" w:eastAsia="仿宋"/>
                <w:kern w:val="0"/>
                <w:szCs w:val="21"/>
              </w:rPr>
              <w:t>3</w:t>
            </w:r>
          </w:p>
        </w:tc>
        <w:tc>
          <w:tcPr>
            <w:tcW w:w="197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szCs w:val="21"/>
              </w:rPr>
            </w:pPr>
            <w:r>
              <w:rPr>
                <w:rFonts w:hint="eastAsia" w:ascii="仿宋" w:hAnsi="仿宋" w:eastAsia="仿宋"/>
                <w:szCs w:val="21"/>
              </w:rPr>
              <w:t>肿瘤坏死因子</w:t>
            </w:r>
            <w:r>
              <w:rPr>
                <w:rFonts w:hint="eastAsia" w:ascii="MS Gothic" w:hAnsi="MS Gothic" w:eastAsia="MS Gothic" w:cs="MS Gothic"/>
                <w:szCs w:val="21"/>
              </w:rPr>
              <w:t>‑</w:t>
            </w:r>
            <w:r>
              <w:rPr>
                <w:rFonts w:ascii="仿宋" w:hAnsi="仿宋" w:eastAsia="仿宋"/>
                <w:szCs w:val="21"/>
              </w:rPr>
              <w:t>α</w:t>
            </w:r>
          </w:p>
        </w:tc>
        <w:tc>
          <w:tcPr>
            <w:tcW w:w="104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line="276" w:lineRule="auto"/>
              <w:jc w:val="center"/>
              <w:rPr>
                <w:rFonts w:ascii="仿宋" w:hAnsi="仿宋" w:eastAsia="仿宋"/>
                <w:kern w:val="0"/>
                <w:szCs w:val="21"/>
              </w:rPr>
            </w:pPr>
            <w:r>
              <w:rPr>
                <w:rFonts w:hint="eastAsia" w:ascii="仿宋" w:hAnsi="仿宋" w:eastAsia="仿宋"/>
                <w:szCs w:val="21"/>
              </w:rPr>
              <w:t>1200项</w:t>
            </w:r>
          </w:p>
        </w:tc>
        <w:tc>
          <w:tcPr>
            <w:tcW w:w="1482" w:type="pct"/>
            <w:tcBorders>
              <w:top w:val="single" w:color="000000" w:sz="4" w:space="0"/>
              <w:left w:val="single" w:color="000000" w:sz="4" w:space="0"/>
              <w:bottom w:val="single" w:color="000000" w:sz="4" w:space="0"/>
              <w:right w:val="single" w:color="000000" w:sz="4" w:space="0"/>
            </w:tcBorders>
            <w:shd w:val="clear" w:color="auto" w:fill="CDD4E9"/>
            <w:vAlign w:val="center"/>
          </w:tcPr>
          <w:p>
            <w:pPr>
              <w:widowControl/>
              <w:spacing w:line="276" w:lineRule="auto"/>
              <w:jc w:val="center"/>
              <w:rPr>
                <w:rFonts w:ascii="仿宋" w:hAnsi="仿宋" w:eastAsia="仿宋"/>
                <w:szCs w:val="21"/>
              </w:rPr>
            </w:pPr>
            <w:r>
              <w:rPr>
                <w:rFonts w:hint="eastAsia" w:ascii="仿宋" w:hAnsi="仿宋" w:eastAsia="仿宋"/>
                <w:szCs w:val="21"/>
              </w:rPr>
              <w:t>40.00</w:t>
            </w:r>
          </w:p>
        </w:tc>
      </w:tr>
    </w:tbl>
    <w:p>
      <w:pPr>
        <w:spacing w:line="360" w:lineRule="auto"/>
        <w:contextualSpacing/>
        <w:rPr>
          <w:rFonts w:ascii="仿宋" w:hAnsi="仿宋" w:eastAsia="仿宋" w:cs="仿宋"/>
          <w:b/>
          <w:bCs/>
          <w:szCs w:val="21"/>
        </w:rPr>
      </w:pPr>
      <w:r>
        <w:rPr>
          <w:rFonts w:hint="eastAsia" w:ascii="仿宋" w:hAnsi="仿宋" w:eastAsia="仿宋" w:cs="仿宋"/>
          <w:b/>
          <w:bCs/>
          <w:szCs w:val="21"/>
        </w:rPr>
        <w:t>注：1）投标人所报委托服务明细单价不能超过上述单价限价，否则按废标处理。</w:t>
      </w:r>
    </w:p>
    <w:p>
      <w:pPr>
        <w:pStyle w:val="6"/>
        <w:spacing w:line="360" w:lineRule="auto"/>
        <w:ind w:firstLine="482"/>
        <w:contextualSpacing/>
        <w:rPr>
          <w:rFonts w:ascii="仿宋" w:hAnsi="仿宋" w:eastAsia="仿宋" w:cs="仿宋"/>
          <w:b/>
          <w:bCs/>
          <w:sz w:val="21"/>
          <w:szCs w:val="21"/>
        </w:rPr>
      </w:pPr>
      <w:r>
        <w:rPr>
          <w:rFonts w:hint="eastAsia" w:ascii="仿宋" w:hAnsi="仿宋" w:eastAsia="仿宋" w:cs="仿宋"/>
          <w:b/>
          <w:bCs/>
          <w:sz w:val="21"/>
          <w:szCs w:val="21"/>
        </w:rPr>
        <w:t>2）投标人所报数量不能低于上述委托服务中列明的数量，否则按废标处理。</w:t>
      </w:r>
    </w:p>
    <w:p>
      <w:pPr>
        <w:pStyle w:val="6"/>
        <w:spacing w:line="360" w:lineRule="auto"/>
        <w:ind w:firstLine="482"/>
        <w:contextualSpacing/>
        <w:rPr>
          <w:rFonts w:ascii="仿宋" w:hAnsi="仿宋" w:eastAsia="仿宋"/>
          <w:b/>
          <w:sz w:val="21"/>
        </w:rPr>
      </w:pPr>
      <w:r>
        <w:rPr>
          <w:rFonts w:hint="eastAsia" w:ascii="仿宋" w:hAnsi="仿宋" w:eastAsia="仿宋"/>
          <w:b/>
          <w:sz w:val="21"/>
        </w:rPr>
        <w:t>（二）商务要求</w:t>
      </w:r>
    </w:p>
    <w:p>
      <w:pPr>
        <w:pStyle w:val="6"/>
        <w:spacing w:line="360" w:lineRule="auto"/>
        <w:ind w:firstLine="482"/>
        <w:contextualSpacing/>
        <w:rPr>
          <w:rFonts w:ascii="仿宋" w:hAnsi="仿宋" w:eastAsia="仿宋"/>
          <w:sz w:val="21"/>
        </w:rPr>
      </w:pPr>
      <w:r>
        <w:rPr>
          <w:rFonts w:hint="eastAsia" w:ascii="仿宋" w:hAnsi="仿宋" w:eastAsia="仿宋"/>
          <w:sz w:val="21"/>
        </w:rPr>
        <w:t>1、样本收齐后，7个工作日内完成全部实验检测并交付完整的实验报告。质控在标准参考值范围内，批内精密度、批间精密度CV均小于10%。</w:t>
      </w:r>
    </w:p>
    <w:p>
      <w:pPr>
        <w:pStyle w:val="6"/>
        <w:spacing w:line="360" w:lineRule="auto"/>
        <w:ind w:firstLine="482"/>
        <w:contextualSpacing/>
        <w:rPr>
          <w:rFonts w:ascii="仿宋" w:hAnsi="仿宋" w:eastAsia="仿宋"/>
          <w:sz w:val="21"/>
        </w:rPr>
      </w:pPr>
      <w:r>
        <w:rPr>
          <w:rFonts w:hint="eastAsia" w:ascii="仿宋" w:hAnsi="仿宋" w:eastAsia="仿宋"/>
          <w:sz w:val="21"/>
        </w:rPr>
        <w:t>2、售后服务工作和提供技术保障：</w:t>
      </w:r>
    </w:p>
    <w:p>
      <w:pPr>
        <w:pStyle w:val="6"/>
        <w:spacing w:line="360" w:lineRule="auto"/>
        <w:ind w:firstLine="482"/>
        <w:contextualSpacing/>
        <w:rPr>
          <w:rFonts w:ascii="仿宋" w:hAnsi="仿宋" w:eastAsia="仿宋"/>
          <w:sz w:val="21"/>
        </w:rPr>
      </w:pPr>
      <w:r>
        <w:rPr>
          <w:rFonts w:hint="eastAsia" w:ascii="仿宋" w:hAnsi="仿宋" w:eastAsia="仿宋"/>
          <w:sz w:val="21"/>
        </w:rPr>
        <w:t>2.1、向用户提供各种与服务相关的免费技术咨询服务，包括电话、邮件等方式。以最快速度做出反应，提供解决方案。</w:t>
      </w:r>
    </w:p>
    <w:p>
      <w:pPr>
        <w:pStyle w:val="6"/>
        <w:spacing w:line="360" w:lineRule="auto"/>
        <w:ind w:firstLine="482"/>
        <w:contextualSpacing/>
        <w:rPr>
          <w:rFonts w:ascii="仿宋" w:hAnsi="仿宋" w:eastAsia="仿宋"/>
          <w:sz w:val="21"/>
        </w:rPr>
      </w:pPr>
      <w:r>
        <w:rPr>
          <w:rFonts w:hint="eastAsia" w:ascii="仿宋" w:hAnsi="仿宋" w:eastAsia="仿宋"/>
          <w:sz w:val="21"/>
        </w:rPr>
        <w:t>2.2、通过3种方式保障技术后援支持：远程支持采用电话指导或远程登录、电子邮件等方式提供技术支持，其他无法迅速解决的问题应在一周内解决或提出明确解决方案。</w:t>
      </w:r>
    </w:p>
    <w:p>
      <w:pPr>
        <w:pStyle w:val="6"/>
        <w:spacing w:line="360" w:lineRule="auto"/>
        <w:ind w:firstLine="482"/>
        <w:contextualSpacing/>
        <w:rPr>
          <w:rFonts w:ascii="仿宋" w:hAnsi="仿宋" w:eastAsia="仿宋"/>
          <w:sz w:val="21"/>
        </w:rPr>
      </w:pPr>
      <w:r>
        <w:rPr>
          <w:rFonts w:hint="eastAsia" w:ascii="仿宋" w:hAnsi="仿宋" w:eastAsia="仿宋"/>
          <w:sz w:val="21"/>
        </w:rPr>
        <w:t>3.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contextualSpacing/>
        <w:rPr>
          <w:rFonts w:ascii="仿宋" w:hAnsi="仿宋" w:eastAsia="仿宋"/>
          <w:sz w:val="21"/>
        </w:rPr>
      </w:pPr>
      <w:r>
        <w:rPr>
          <w:rFonts w:hint="eastAsia" w:ascii="仿宋" w:hAnsi="仿宋" w:eastAsia="仿宋"/>
          <w:sz w:val="21"/>
        </w:rPr>
        <w:t>4.本项目产生的检测数据、分析结果及相关研究成果的知识产权归采购人所有。</w:t>
      </w:r>
    </w:p>
    <w:p>
      <w:pPr>
        <w:pStyle w:val="6"/>
        <w:spacing w:line="360" w:lineRule="auto"/>
        <w:ind w:firstLine="482"/>
        <w:contextualSpacing/>
        <w:rPr>
          <w:rFonts w:ascii="仿宋" w:hAnsi="仿宋" w:eastAsia="仿宋"/>
          <w:sz w:val="21"/>
        </w:rPr>
      </w:pPr>
      <w:r>
        <w:rPr>
          <w:rFonts w:hint="eastAsia" w:ascii="仿宋" w:hAnsi="仿宋" w:eastAsia="仿宋"/>
          <w:sz w:val="21"/>
        </w:rPr>
        <w:t>5.投标人应建立样品接收、登记、储存、处理、销毁的全流程管理制度，确保样品可追溯、可核查。</w:t>
      </w:r>
      <w:bookmarkStart w:id="42" w:name="OLE_LINK128"/>
      <w:bookmarkStart w:id="43" w:name="OLE_LINK127"/>
      <w:r>
        <w:rPr>
          <w:rFonts w:hint="eastAsia" w:ascii="仿宋" w:hAnsi="仿宋" w:eastAsia="仿宋"/>
          <w:sz w:val="21"/>
        </w:rPr>
        <w:t>需安排专人上门接收样品，并提供取样人员名单及联系方式。</w:t>
      </w:r>
      <w:bookmarkEnd w:id="42"/>
      <w:bookmarkEnd w:id="43"/>
    </w:p>
    <w:p>
      <w:pPr>
        <w:pStyle w:val="6"/>
        <w:spacing w:line="360" w:lineRule="auto"/>
        <w:ind w:firstLine="482"/>
        <w:contextualSpacing/>
        <w:rPr>
          <w:rFonts w:ascii="仿宋" w:hAnsi="仿宋" w:eastAsia="仿宋"/>
          <w:b/>
          <w:sz w:val="21"/>
        </w:rPr>
      </w:pPr>
      <w:r>
        <w:rPr>
          <w:rFonts w:hint="eastAsia" w:ascii="仿宋" w:hAnsi="仿宋" w:eastAsia="仿宋"/>
          <w:b/>
          <w:sz w:val="21"/>
        </w:rPr>
        <w:t>（三）技术要求</w:t>
      </w:r>
    </w:p>
    <w:p>
      <w:pPr>
        <w:pStyle w:val="6"/>
        <w:spacing w:line="360" w:lineRule="auto"/>
        <w:ind w:firstLine="482"/>
        <w:contextualSpacing/>
        <w:rPr>
          <w:rFonts w:ascii="仿宋" w:hAnsi="仿宋" w:eastAsia="仿宋"/>
          <w:sz w:val="21"/>
        </w:rPr>
      </w:pPr>
      <w:r>
        <w:rPr>
          <w:rFonts w:hint="eastAsia" w:ascii="仿宋" w:hAnsi="仿宋" w:eastAsia="仿宋"/>
          <w:sz w:val="21"/>
        </w:rPr>
        <w:t>1、C-反应蛋白(CRP)测定</w:t>
      </w:r>
    </w:p>
    <w:p>
      <w:pPr>
        <w:pStyle w:val="6"/>
        <w:spacing w:line="360" w:lineRule="auto"/>
        <w:ind w:firstLine="482"/>
        <w:contextualSpacing/>
        <w:rPr>
          <w:rFonts w:ascii="仿宋" w:hAnsi="仿宋" w:eastAsia="仿宋"/>
          <w:sz w:val="21"/>
        </w:rPr>
      </w:pPr>
      <w:r>
        <w:rPr>
          <w:rFonts w:hint="eastAsia" w:ascii="仿宋" w:hAnsi="仿宋" w:eastAsia="仿宋"/>
          <w:sz w:val="21"/>
        </w:rPr>
        <w:t>1.1、免疫比浊法。</w:t>
      </w:r>
    </w:p>
    <w:p>
      <w:pPr>
        <w:pStyle w:val="6"/>
        <w:spacing w:line="360" w:lineRule="auto"/>
        <w:ind w:firstLine="482"/>
        <w:contextualSpacing/>
        <w:rPr>
          <w:rFonts w:ascii="仿宋" w:hAnsi="仿宋" w:eastAsia="仿宋"/>
          <w:sz w:val="21"/>
        </w:rPr>
      </w:pPr>
      <w:r>
        <w:rPr>
          <w:rFonts w:hint="eastAsia" w:ascii="仿宋" w:hAnsi="仿宋" w:eastAsia="仿宋"/>
          <w:sz w:val="21"/>
        </w:rPr>
        <w:t>1.2、仪器特性：支持精准比浊定量、血清样本直接上机。</w:t>
      </w:r>
    </w:p>
    <w:p>
      <w:pPr>
        <w:pStyle w:val="6"/>
        <w:spacing w:line="360" w:lineRule="auto"/>
        <w:ind w:firstLine="482"/>
        <w:contextualSpacing/>
        <w:rPr>
          <w:rFonts w:ascii="仿宋" w:hAnsi="仿宋" w:eastAsia="仿宋"/>
          <w:sz w:val="21"/>
        </w:rPr>
      </w:pPr>
      <w:r>
        <w:rPr>
          <w:rFonts w:hint="eastAsia" w:ascii="仿宋" w:hAnsi="仿宋" w:eastAsia="仿宋"/>
          <w:sz w:val="21"/>
        </w:rPr>
        <w:t>1.3、样本检测量为200μl血清。</w:t>
      </w:r>
    </w:p>
    <w:p>
      <w:pPr>
        <w:pStyle w:val="6"/>
        <w:spacing w:line="360" w:lineRule="auto"/>
        <w:ind w:firstLine="482"/>
        <w:contextualSpacing/>
        <w:rPr>
          <w:rFonts w:ascii="仿宋" w:hAnsi="仿宋" w:eastAsia="仿宋"/>
          <w:sz w:val="21"/>
        </w:rPr>
      </w:pPr>
      <w:r>
        <w:rPr>
          <w:rFonts w:hint="eastAsia" w:ascii="仿宋" w:hAnsi="仿宋" w:eastAsia="仿宋"/>
          <w:sz w:val="21"/>
        </w:rPr>
        <w:t>2、白细胞介素-6测定</w:t>
      </w:r>
    </w:p>
    <w:p>
      <w:pPr>
        <w:pStyle w:val="6"/>
        <w:spacing w:line="360" w:lineRule="auto"/>
        <w:ind w:firstLine="482"/>
        <w:contextualSpacing/>
        <w:rPr>
          <w:rFonts w:ascii="仿宋" w:hAnsi="仿宋" w:eastAsia="仿宋"/>
          <w:sz w:val="21"/>
        </w:rPr>
      </w:pPr>
      <w:r>
        <w:rPr>
          <w:rFonts w:hint="eastAsia" w:ascii="仿宋" w:hAnsi="仿宋" w:eastAsia="仿宋"/>
          <w:sz w:val="21"/>
        </w:rPr>
        <w:t>2.1、化学发光法。</w:t>
      </w:r>
    </w:p>
    <w:p>
      <w:pPr>
        <w:pStyle w:val="6"/>
        <w:spacing w:line="360" w:lineRule="auto"/>
        <w:ind w:firstLine="482"/>
        <w:contextualSpacing/>
        <w:rPr>
          <w:rFonts w:ascii="仿宋" w:hAnsi="仿宋" w:eastAsia="仿宋"/>
          <w:sz w:val="21"/>
        </w:rPr>
      </w:pPr>
      <w:r>
        <w:rPr>
          <w:rFonts w:hint="eastAsia" w:ascii="仿宋" w:hAnsi="仿宋" w:eastAsia="仿宋"/>
          <w:sz w:val="21"/>
        </w:rPr>
        <w:t>2.2、仪器特性：高灵敏度、高通量、精确定量，适配血清样本。</w:t>
      </w:r>
    </w:p>
    <w:p>
      <w:pPr>
        <w:pStyle w:val="6"/>
        <w:spacing w:line="360" w:lineRule="auto"/>
        <w:ind w:firstLine="482"/>
        <w:contextualSpacing/>
        <w:rPr>
          <w:rFonts w:ascii="仿宋" w:hAnsi="仿宋" w:eastAsia="仿宋"/>
          <w:sz w:val="21"/>
        </w:rPr>
      </w:pPr>
      <w:r>
        <w:rPr>
          <w:rFonts w:hint="eastAsia" w:ascii="仿宋" w:hAnsi="仿宋" w:eastAsia="仿宋"/>
          <w:sz w:val="21"/>
        </w:rPr>
        <w:t>2.3、样本检测量为100μl血清。</w:t>
      </w:r>
    </w:p>
    <w:p>
      <w:pPr>
        <w:pStyle w:val="6"/>
        <w:spacing w:line="360" w:lineRule="auto"/>
        <w:ind w:firstLine="482"/>
        <w:contextualSpacing/>
        <w:rPr>
          <w:rFonts w:ascii="仿宋" w:hAnsi="仿宋" w:eastAsia="仿宋"/>
          <w:sz w:val="21"/>
        </w:rPr>
      </w:pPr>
      <w:r>
        <w:rPr>
          <w:rFonts w:hint="eastAsia" w:ascii="仿宋" w:hAnsi="仿宋" w:eastAsia="仿宋"/>
          <w:sz w:val="21"/>
        </w:rPr>
        <w:t>3、肿瘤坏死因子α测定</w:t>
      </w:r>
    </w:p>
    <w:p>
      <w:pPr>
        <w:pStyle w:val="6"/>
        <w:spacing w:line="360" w:lineRule="auto"/>
        <w:ind w:firstLine="482"/>
        <w:contextualSpacing/>
        <w:rPr>
          <w:rFonts w:ascii="仿宋" w:hAnsi="仿宋" w:eastAsia="仿宋"/>
          <w:sz w:val="21"/>
        </w:rPr>
      </w:pPr>
      <w:r>
        <w:rPr>
          <w:rFonts w:hint="eastAsia" w:ascii="仿宋" w:hAnsi="仿宋" w:eastAsia="仿宋"/>
          <w:sz w:val="21"/>
        </w:rPr>
        <w:t>3.1、化学发光法.</w:t>
      </w:r>
    </w:p>
    <w:p>
      <w:pPr>
        <w:pStyle w:val="6"/>
        <w:spacing w:line="360" w:lineRule="auto"/>
        <w:ind w:firstLine="482"/>
        <w:contextualSpacing/>
        <w:rPr>
          <w:rFonts w:ascii="仿宋" w:hAnsi="仿宋" w:eastAsia="仿宋"/>
          <w:sz w:val="21"/>
        </w:rPr>
      </w:pPr>
      <w:r>
        <w:rPr>
          <w:rFonts w:hint="eastAsia" w:ascii="仿宋" w:hAnsi="仿宋" w:eastAsia="仿宋"/>
          <w:sz w:val="21"/>
        </w:rPr>
        <w:t>3.2、仪器特性：发光信号稳定、重复性好、微量精确定量，适配血清样本。</w:t>
      </w:r>
    </w:p>
    <w:p>
      <w:pPr>
        <w:pStyle w:val="6"/>
        <w:spacing w:line="360" w:lineRule="auto"/>
        <w:ind w:firstLine="482"/>
        <w:contextualSpacing/>
        <w:rPr>
          <w:rFonts w:ascii="仿宋" w:hAnsi="仿宋" w:eastAsia="仿宋"/>
          <w:sz w:val="21"/>
        </w:rPr>
      </w:pPr>
      <w:r>
        <w:rPr>
          <w:rFonts w:hint="eastAsia" w:ascii="仿宋" w:hAnsi="仿宋" w:eastAsia="仿宋"/>
          <w:sz w:val="21"/>
        </w:rPr>
        <w:t>3.3、样本检测量为100μl血清。</w:t>
      </w:r>
    </w:p>
    <w:p>
      <w:pPr>
        <w:pStyle w:val="6"/>
        <w:spacing w:line="360" w:lineRule="auto"/>
        <w:ind w:firstLine="482"/>
        <w:contextualSpacing/>
        <w:rPr>
          <w:rFonts w:ascii="仿宋" w:hAnsi="仿宋" w:eastAsia="仿宋"/>
          <w:b/>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8包 测试化验加工委托服务8</w:t>
      </w:r>
    </w:p>
    <w:p>
      <w:pPr>
        <w:pStyle w:val="6"/>
        <w:spacing w:line="360" w:lineRule="auto"/>
        <w:ind w:firstLine="482"/>
        <w:contextualSpacing/>
        <w:rPr>
          <w:rFonts w:ascii="仿宋" w:hAnsi="仿宋" w:eastAsia="仿宋"/>
          <w:b/>
          <w:sz w:val="21"/>
        </w:rPr>
      </w:pPr>
      <w:r>
        <w:rPr>
          <w:rFonts w:hint="eastAsia" w:ascii="仿宋" w:hAnsi="仿宋" w:eastAsia="仿宋"/>
          <w:b/>
          <w:sz w:val="21"/>
        </w:rPr>
        <w:t>（一）委托服务</w:t>
      </w:r>
    </w:p>
    <w:tbl>
      <w:tblPr>
        <w:tblStyle w:val="14"/>
        <w:tblW w:w="5000" w:type="pct"/>
        <w:tblInd w:w="0" w:type="dxa"/>
        <w:tblLayout w:type="autofit"/>
        <w:tblCellMar>
          <w:top w:w="0" w:type="dxa"/>
          <w:left w:w="108" w:type="dxa"/>
          <w:bottom w:w="0" w:type="dxa"/>
          <w:right w:w="108" w:type="dxa"/>
        </w:tblCellMar>
      </w:tblPr>
      <w:tblGrid>
        <w:gridCol w:w="918"/>
        <w:gridCol w:w="3301"/>
        <w:gridCol w:w="994"/>
        <w:gridCol w:w="994"/>
        <w:gridCol w:w="2315"/>
      </w:tblGrid>
      <w:tr>
        <w:tblPrEx>
          <w:tblCellMar>
            <w:top w:w="0" w:type="dxa"/>
            <w:left w:w="108" w:type="dxa"/>
            <w:bottom w:w="0" w:type="dxa"/>
            <w:right w:w="108" w:type="dxa"/>
          </w:tblCellMar>
        </w:tblPrEx>
        <w:trPr>
          <w:trHeight w:val="600" w:hRule="atLeast"/>
        </w:trPr>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b/>
                <w:bCs/>
                <w:kern w:val="0"/>
                <w:szCs w:val="21"/>
              </w:rPr>
            </w:pPr>
            <w:r>
              <w:rPr>
                <w:rFonts w:hint="eastAsia" w:ascii="仿宋" w:hAnsi="仿宋" w:eastAsia="仿宋" w:cs="宋体"/>
                <w:b/>
                <w:bCs/>
                <w:kern w:val="0"/>
                <w:szCs w:val="21"/>
              </w:rPr>
              <w:t>序号</w:t>
            </w:r>
          </w:p>
        </w:tc>
        <w:tc>
          <w:tcPr>
            <w:tcW w:w="1937" w:type="pct"/>
            <w:tcBorders>
              <w:top w:val="single" w:color="auto" w:sz="4" w:space="0"/>
              <w:left w:val="nil"/>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b/>
                <w:bCs/>
                <w:kern w:val="0"/>
                <w:szCs w:val="21"/>
              </w:rPr>
            </w:pPr>
            <w:r>
              <w:rPr>
                <w:rFonts w:hint="eastAsia" w:ascii="仿宋" w:hAnsi="仿宋" w:eastAsia="仿宋" w:cs="宋体"/>
                <w:b/>
                <w:bCs/>
                <w:kern w:val="0"/>
                <w:szCs w:val="21"/>
              </w:rPr>
              <w:t>测试化验加工</w:t>
            </w:r>
          </w:p>
        </w:tc>
        <w:tc>
          <w:tcPr>
            <w:tcW w:w="583" w:type="pct"/>
            <w:tcBorders>
              <w:top w:val="single" w:color="auto" w:sz="4" w:space="0"/>
              <w:left w:val="nil"/>
              <w:bottom w:val="single" w:color="auto" w:sz="4" w:space="0"/>
              <w:right w:val="single" w:color="auto" w:sz="4" w:space="0"/>
            </w:tcBorders>
            <w:shd w:val="clear" w:color="auto" w:fill="auto"/>
            <w:noWrap/>
            <w:vAlign w:val="center"/>
          </w:tcPr>
          <w:p>
            <w:pPr>
              <w:widowControl/>
              <w:spacing w:line="276" w:lineRule="auto"/>
              <w:jc w:val="center"/>
              <w:rPr>
                <w:rFonts w:ascii="仿宋" w:hAnsi="仿宋" w:eastAsia="仿宋" w:cs="宋体"/>
                <w:b/>
                <w:bCs/>
                <w:kern w:val="0"/>
                <w:szCs w:val="21"/>
              </w:rPr>
            </w:pPr>
            <w:r>
              <w:rPr>
                <w:rFonts w:hint="eastAsia" w:ascii="仿宋" w:hAnsi="仿宋" w:eastAsia="仿宋" w:cs="宋体"/>
                <w:b/>
                <w:bCs/>
                <w:kern w:val="0"/>
                <w:szCs w:val="21"/>
              </w:rPr>
              <w:t>单位</w:t>
            </w:r>
          </w:p>
        </w:tc>
        <w:tc>
          <w:tcPr>
            <w:tcW w:w="583" w:type="pct"/>
            <w:tcBorders>
              <w:top w:val="single" w:color="auto" w:sz="4" w:space="0"/>
              <w:left w:val="nil"/>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例数</w:t>
            </w:r>
          </w:p>
        </w:tc>
        <w:tc>
          <w:tcPr>
            <w:tcW w:w="1358" w:type="pct"/>
            <w:tcBorders>
              <w:top w:val="single" w:color="auto" w:sz="4" w:space="0"/>
              <w:left w:val="nil"/>
              <w:bottom w:val="single" w:color="auto" w:sz="4" w:space="0"/>
              <w:right w:val="single" w:color="auto" w:sz="4" w:space="0"/>
            </w:tcBorders>
            <w:shd w:val="clear" w:color="auto" w:fill="auto"/>
            <w:vAlign w:val="center"/>
          </w:tcPr>
          <w:p>
            <w:pPr>
              <w:widowControl/>
              <w:wordWrap w:val="0"/>
              <w:spacing w:line="276" w:lineRule="auto"/>
              <w:jc w:val="center"/>
              <w:rPr>
                <w:rFonts w:ascii="仿宋" w:hAnsi="仿宋" w:eastAsia="仿宋" w:cs="宋体"/>
                <w:b/>
                <w:bCs/>
                <w:kern w:val="0"/>
                <w:szCs w:val="21"/>
              </w:rPr>
            </w:pPr>
            <w:r>
              <w:rPr>
                <w:rFonts w:hint="eastAsia" w:ascii="仿宋" w:hAnsi="仿宋" w:eastAsia="仿宋" w:cs="宋体"/>
                <w:b/>
                <w:bCs/>
                <w:kern w:val="0"/>
                <w:szCs w:val="21"/>
              </w:rPr>
              <w:t>单价</w:t>
            </w:r>
            <w:r>
              <w:rPr>
                <w:rFonts w:hint="eastAsia" w:ascii="仿宋" w:hAnsi="仿宋" w:eastAsia="仿宋" w:cs="宋体"/>
                <w:b/>
                <w:kern w:val="0"/>
                <w:szCs w:val="21"/>
              </w:rPr>
              <w:t>限价（人民币元）</w:t>
            </w:r>
          </w:p>
        </w:tc>
      </w:tr>
      <w:tr>
        <w:tblPrEx>
          <w:tblCellMar>
            <w:top w:w="0" w:type="dxa"/>
            <w:left w:w="108" w:type="dxa"/>
            <w:bottom w:w="0" w:type="dxa"/>
            <w:right w:w="108" w:type="dxa"/>
          </w:tblCellMar>
        </w:tblPrEx>
        <w:trPr>
          <w:trHeight w:val="600" w:hRule="atLeast"/>
        </w:trPr>
        <w:tc>
          <w:tcPr>
            <w:tcW w:w="539" w:type="pc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w:t>
            </w:r>
          </w:p>
        </w:tc>
        <w:tc>
          <w:tcPr>
            <w:tcW w:w="1937" w:type="pct"/>
            <w:tcBorders>
              <w:top w:val="nil"/>
              <w:left w:val="nil"/>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ASQ问卷</w:t>
            </w:r>
          </w:p>
        </w:tc>
        <w:tc>
          <w:tcPr>
            <w:tcW w:w="583" w:type="pct"/>
            <w:tcBorders>
              <w:top w:val="nil"/>
              <w:left w:val="nil"/>
              <w:bottom w:val="single" w:color="auto" w:sz="4" w:space="0"/>
              <w:right w:val="single" w:color="auto" w:sz="4" w:space="0"/>
            </w:tcBorders>
            <w:shd w:val="clear" w:color="auto" w:fill="auto"/>
            <w:noWrap/>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例</w:t>
            </w:r>
          </w:p>
        </w:tc>
        <w:tc>
          <w:tcPr>
            <w:tcW w:w="583" w:type="pct"/>
            <w:tcBorders>
              <w:top w:val="nil"/>
              <w:left w:val="nil"/>
              <w:bottom w:val="single" w:color="auto" w:sz="4" w:space="0"/>
              <w:right w:val="single" w:color="auto" w:sz="4" w:space="0"/>
            </w:tcBorders>
            <w:shd w:val="clear" w:color="auto" w:fill="auto"/>
            <w:noWrap/>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1600</w:t>
            </w:r>
          </w:p>
        </w:tc>
        <w:tc>
          <w:tcPr>
            <w:tcW w:w="1358" w:type="pct"/>
            <w:tcBorders>
              <w:top w:val="nil"/>
              <w:left w:val="nil"/>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25.00</w:t>
            </w:r>
          </w:p>
        </w:tc>
      </w:tr>
      <w:tr>
        <w:tblPrEx>
          <w:tblCellMar>
            <w:top w:w="0" w:type="dxa"/>
            <w:left w:w="108" w:type="dxa"/>
            <w:bottom w:w="0" w:type="dxa"/>
            <w:right w:w="108" w:type="dxa"/>
          </w:tblCellMar>
        </w:tblPrEx>
        <w:trPr>
          <w:trHeight w:val="600" w:hRule="atLeast"/>
        </w:trPr>
        <w:tc>
          <w:tcPr>
            <w:tcW w:w="539" w:type="pc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w:t>
            </w:r>
          </w:p>
        </w:tc>
        <w:tc>
          <w:tcPr>
            <w:tcW w:w="1937" w:type="pct"/>
            <w:tcBorders>
              <w:top w:val="nil"/>
              <w:left w:val="nil"/>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近红外数据处理</w:t>
            </w:r>
          </w:p>
        </w:tc>
        <w:tc>
          <w:tcPr>
            <w:tcW w:w="583" w:type="pct"/>
            <w:tcBorders>
              <w:top w:val="nil"/>
              <w:left w:val="nil"/>
              <w:bottom w:val="single" w:color="auto" w:sz="4" w:space="0"/>
              <w:right w:val="single" w:color="auto" w:sz="4" w:space="0"/>
            </w:tcBorders>
            <w:shd w:val="clear" w:color="auto" w:fill="auto"/>
            <w:noWrap/>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个</w:t>
            </w:r>
          </w:p>
        </w:tc>
        <w:tc>
          <w:tcPr>
            <w:tcW w:w="583" w:type="pct"/>
            <w:tcBorders>
              <w:top w:val="nil"/>
              <w:left w:val="nil"/>
              <w:bottom w:val="single" w:color="auto" w:sz="4" w:space="0"/>
              <w:right w:val="single" w:color="auto" w:sz="4" w:space="0"/>
            </w:tcBorders>
            <w:shd w:val="clear" w:color="auto" w:fill="auto"/>
            <w:noWrap/>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100</w:t>
            </w:r>
          </w:p>
        </w:tc>
        <w:tc>
          <w:tcPr>
            <w:tcW w:w="1358" w:type="pct"/>
            <w:tcBorders>
              <w:top w:val="nil"/>
              <w:left w:val="nil"/>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500.00</w:t>
            </w:r>
          </w:p>
        </w:tc>
      </w:tr>
      <w:tr>
        <w:tblPrEx>
          <w:tblCellMar>
            <w:top w:w="0" w:type="dxa"/>
            <w:left w:w="108" w:type="dxa"/>
            <w:bottom w:w="0" w:type="dxa"/>
            <w:right w:w="108" w:type="dxa"/>
          </w:tblCellMar>
        </w:tblPrEx>
        <w:trPr>
          <w:trHeight w:val="600" w:hRule="atLeast"/>
        </w:trPr>
        <w:tc>
          <w:tcPr>
            <w:tcW w:w="539" w:type="pc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w:t>
            </w:r>
          </w:p>
        </w:tc>
        <w:tc>
          <w:tcPr>
            <w:tcW w:w="1937" w:type="pct"/>
            <w:tcBorders>
              <w:top w:val="nil"/>
              <w:left w:val="nil"/>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执行功能任务程序制作</w:t>
            </w:r>
          </w:p>
        </w:tc>
        <w:tc>
          <w:tcPr>
            <w:tcW w:w="583" w:type="pct"/>
            <w:tcBorders>
              <w:top w:val="nil"/>
              <w:left w:val="nil"/>
              <w:bottom w:val="single" w:color="auto" w:sz="4" w:space="0"/>
              <w:right w:val="single" w:color="auto" w:sz="4" w:space="0"/>
            </w:tcBorders>
            <w:shd w:val="clear" w:color="auto" w:fill="auto"/>
            <w:noWrap/>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个</w:t>
            </w:r>
          </w:p>
        </w:tc>
        <w:tc>
          <w:tcPr>
            <w:tcW w:w="583" w:type="pct"/>
            <w:tcBorders>
              <w:top w:val="nil"/>
              <w:left w:val="nil"/>
              <w:bottom w:val="single" w:color="auto" w:sz="4" w:space="0"/>
              <w:right w:val="single" w:color="auto" w:sz="4" w:space="0"/>
            </w:tcBorders>
            <w:shd w:val="clear" w:color="auto" w:fill="auto"/>
            <w:noWrap/>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w:t>
            </w:r>
          </w:p>
        </w:tc>
        <w:tc>
          <w:tcPr>
            <w:tcW w:w="1358" w:type="pct"/>
            <w:tcBorders>
              <w:top w:val="nil"/>
              <w:left w:val="nil"/>
              <w:bottom w:val="single" w:color="auto" w:sz="4" w:space="0"/>
              <w:right w:val="single" w:color="auto" w:sz="4" w:space="0"/>
            </w:tcBorders>
            <w:shd w:val="clear" w:color="auto" w:fill="auto"/>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5,000.00</w:t>
            </w:r>
          </w:p>
        </w:tc>
      </w:tr>
    </w:tbl>
    <w:p>
      <w:pPr>
        <w:spacing w:line="360" w:lineRule="auto"/>
        <w:contextualSpacing/>
        <w:rPr>
          <w:rFonts w:ascii="仿宋" w:hAnsi="仿宋" w:eastAsia="仿宋" w:cs="仿宋"/>
          <w:b/>
          <w:bCs/>
          <w:szCs w:val="21"/>
        </w:rPr>
      </w:pPr>
      <w:bookmarkStart w:id="44" w:name="OLE_LINK84"/>
      <w:bookmarkStart w:id="45" w:name="OLE_LINK85"/>
      <w:r>
        <w:rPr>
          <w:rFonts w:hint="eastAsia" w:ascii="仿宋" w:hAnsi="仿宋" w:eastAsia="仿宋" w:cs="仿宋"/>
          <w:b/>
          <w:bCs/>
          <w:szCs w:val="21"/>
        </w:rPr>
        <w:t>注：1）投标人所报委托服务明细单价不能超过上述单价限价，否则按废标处理。</w:t>
      </w:r>
    </w:p>
    <w:p>
      <w:pPr>
        <w:pStyle w:val="6"/>
        <w:spacing w:line="360" w:lineRule="auto"/>
        <w:ind w:firstLine="482"/>
        <w:contextualSpacing/>
        <w:rPr>
          <w:rFonts w:ascii="仿宋" w:hAnsi="仿宋" w:eastAsia="仿宋"/>
          <w:b/>
          <w:sz w:val="18"/>
        </w:rPr>
      </w:pPr>
      <w:r>
        <w:rPr>
          <w:rFonts w:hint="eastAsia" w:ascii="仿宋" w:hAnsi="仿宋" w:eastAsia="仿宋" w:cs="仿宋"/>
          <w:b/>
          <w:bCs/>
          <w:sz w:val="21"/>
          <w:szCs w:val="21"/>
        </w:rPr>
        <w:t>2）投标人所报数量不能低于上述委托服务中列明的数量，否则按废标处理。</w:t>
      </w:r>
      <w:bookmarkEnd w:id="44"/>
      <w:bookmarkEnd w:id="45"/>
    </w:p>
    <w:p>
      <w:pPr>
        <w:pStyle w:val="6"/>
        <w:spacing w:line="360" w:lineRule="auto"/>
        <w:ind w:firstLine="482"/>
        <w:contextualSpacing/>
        <w:rPr>
          <w:rFonts w:ascii="仿宋" w:hAnsi="仿宋" w:eastAsia="仿宋"/>
          <w:b/>
          <w:sz w:val="21"/>
        </w:rPr>
      </w:pPr>
      <w:r>
        <w:rPr>
          <w:rFonts w:hint="eastAsia" w:ascii="仿宋" w:hAnsi="仿宋" w:eastAsia="仿宋"/>
          <w:b/>
          <w:sz w:val="21"/>
        </w:rPr>
        <w:t>（二）商务要求</w:t>
      </w:r>
    </w:p>
    <w:p>
      <w:pPr>
        <w:pStyle w:val="6"/>
        <w:spacing w:line="360" w:lineRule="auto"/>
        <w:ind w:firstLine="482"/>
        <w:contextualSpacing/>
        <w:rPr>
          <w:rFonts w:ascii="仿宋" w:hAnsi="仿宋" w:eastAsia="仿宋"/>
          <w:b/>
          <w:sz w:val="21"/>
        </w:rPr>
      </w:pPr>
      <w:r>
        <w:rPr>
          <w:rFonts w:hint="eastAsia" w:ascii="仿宋" w:hAnsi="仿宋" w:eastAsia="仿宋"/>
          <w:b/>
          <w:sz w:val="21"/>
        </w:rPr>
        <w:t>1、ASQ问卷</w:t>
      </w:r>
    </w:p>
    <w:p>
      <w:pPr>
        <w:pStyle w:val="6"/>
        <w:spacing w:line="360" w:lineRule="auto"/>
        <w:ind w:firstLine="482"/>
        <w:contextualSpacing/>
        <w:rPr>
          <w:rFonts w:ascii="仿宋" w:hAnsi="仿宋" w:eastAsia="仿宋"/>
          <w:sz w:val="21"/>
          <w:szCs w:val="21"/>
        </w:rPr>
      </w:pPr>
      <w:bookmarkStart w:id="46" w:name="OLE_LINK214"/>
      <w:bookmarkStart w:id="47" w:name="OLE_LINK215"/>
      <w:r>
        <w:rPr>
          <w:rFonts w:hint="eastAsia" w:ascii="仿宋" w:hAnsi="仿宋" w:eastAsia="仿宋"/>
          <w:sz w:val="21"/>
          <w:szCs w:val="21"/>
        </w:rPr>
        <w:t>1.</w:t>
      </w:r>
      <w:bookmarkEnd w:id="46"/>
      <w:bookmarkEnd w:id="47"/>
      <w:r>
        <w:rPr>
          <w:rFonts w:hint="eastAsia" w:ascii="仿宋" w:hAnsi="仿宋" w:eastAsia="仿宋"/>
          <w:sz w:val="21"/>
          <w:szCs w:val="21"/>
        </w:rPr>
        <w:t>1、服务数量：本项服务数量为1600例，投标人应按采购人确认的服务对象、批次和进度完成问卷提供、使用支持、结果整理及相关配套服务；最终结算以合同约定及验收确认数量为准。</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1.2、服务周期：投标人应在合同签订后按照采购人项目安排及时提供服务计划，并配合采购人分批实施；因采购人研究进度调整需要顺延或分批交付的，投标人应予以配合。</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1.3、交付方式：投标人应提供符合授权要求的ASQ-3和ASQ:SE-2问卷使用支持、评分或结果输出说明、操作指引及必要的授权证明材料；涉及电子化服务的，应提供稳定可用的访问、填报或数据导出方式。</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1.4、人员与响应：投标人应指定固定项目联系人，负责需求对接、使用答疑、进度反馈和问题处理；一般问题应在1个工作日内响应，影响项目实施的问题应及时提出解决方案。</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1.5、培训与技术支持：投标人应根据采购人需要提供不少于1次使用培训或操作说明，内容包括问卷适用月龄、填报流程、评分解释、结果导出、常见问题处理及注意事项。</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1.6、数据安全与保密：服务过程中涉及的儿童、监护人及项目数据均应严格保密。未经采购人书面同意，投标人不得复制、留存、转交、公开或用于本项目以外用途；服务完成后应按采购人要求返还或删除相关数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1.7、验收标准：验收以授权文件齐备性、问卷版本和适用范围符合要求、服务数量及记录完整性、培训或指导完成情况、结果输出可用性以及采购人确认的项目需求为依据。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1.8、售后服务：验收后投标人应提供必要的售后支持，协助采购人解决问卷使用、结果解释、数据导出或材料补充等问题，支持期限按合同约定执行。</w:t>
      </w:r>
    </w:p>
    <w:p>
      <w:pPr>
        <w:pStyle w:val="6"/>
        <w:spacing w:line="360" w:lineRule="auto"/>
        <w:ind w:firstLine="482"/>
        <w:contextualSpacing/>
        <w:rPr>
          <w:rFonts w:ascii="仿宋" w:hAnsi="仿宋" w:eastAsia="仿宋"/>
          <w:b/>
          <w:sz w:val="21"/>
        </w:rPr>
      </w:pPr>
      <w:r>
        <w:rPr>
          <w:rFonts w:hint="eastAsia" w:ascii="仿宋" w:hAnsi="仿宋" w:eastAsia="仿宋"/>
          <w:b/>
          <w:sz w:val="21"/>
        </w:rPr>
        <w:t>2、近红外数据处理</w:t>
      </w:r>
    </w:p>
    <w:p>
      <w:pPr>
        <w:pStyle w:val="6"/>
        <w:spacing w:line="360" w:lineRule="auto"/>
        <w:ind w:firstLine="482"/>
        <w:contextualSpacing/>
        <w:rPr>
          <w:rFonts w:ascii="仿宋" w:hAnsi="仿宋" w:eastAsia="仿宋"/>
          <w:sz w:val="21"/>
          <w:szCs w:val="21"/>
        </w:rPr>
      </w:pPr>
      <w:bookmarkStart w:id="48" w:name="OLE_LINK218"/>
      <w:bookmarkStart w:id="49" w:name="OLE_LINK219"/>
      <w:r>
        <w:rPr>
          <w:rFonts w:hint="eastAsia" w:ascii="仿宋" w:hAnsi="仿宋" w:eastAsia="仿宋"/>
          <w:sz w:val="21"/>
          <w:szCs w:val="21"/>
        </w:rPr>
        <w:t>2.</w:t>
      </w:r>
      <w:bookmarkEnd w:id="48"/>
      <w:bookmarkEnd w:id="49"/>
      <w:r>
        <w:rPr>
          <w:rFonts w:hint="eastAsia" w:ascii="仿宋" w:hAnsi="仿宋" w:eastAsia="仿宋"/>
          <w:sz w:val="21"/>
          <w:szCs w:val="21"/>
        </w:rPr>
        <w:t>1、服务数量：本项服务数量为100个，投标人应按采购人提供的数据批次、研究方案和分析需求完成处理分析；最终服务数量以采购人验收确认的数据或任务批次为准。</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2.2、服务周期：投标人应在接收完整数据、研究方案及分组信息后提交数据处理计划和预计完成时间，经采购人确认后实施；分批交付时应明确每批次交付节点。</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2.3、交付方式：交付物应以电子文件形式提供，包括清洗后数据、指标汇总表、统计结果表、图件、质控报告、分析方法说明、结果解释报告及可复核分析流程文件，并按采购人要求进行文件命名和目录整理。</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2.4、质量控制：投标人应建立数据接收、处理、复核和交付记录，保证分析流程可追溯。发现数据缺失、格式异常或质量问题时，应及时告知采购人并提出处理建议。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2.5、沟通与修改：服务期内投标人应提供必要的技术沟通，根据采购人确认意见对报告、图表或指标汇总进行合理修改；同一批次交付物应提供不少于2次修改完善服务。</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2.6、数据安全与保密：投标人应严格保护原始数据、被试信息、研究方案和分析结果。未经采购人书面同意，不得上传至非约定平台、转交第三方、公开发表或用于其他项目。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2.7、验收标准：验收以交付物完整性、数据质控说明、分析流程可复核性、统计方法与研究方案一致性、图表和报告可读性、修改意见落实情况及采购人书面确认为依据。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2.8、售后服务：验收后投标人应按合同约定提供结果解释、文件补充、格式转换或论文/项目申报表述建议等后续支持。</w:t>
      </w:r>
    </w:p>
    <w:p>
      <w:pPr>
        <w:pStyle w:val="6"/>
        <w:spacing w:line="360" w:lineRule="auto"/>
        <w:ind w:firstLine="482"/>
        <w:contextualSpacing/>
        <w:rPr>
          <w:rFonts w:ascii="仿宋" w:hAnsi="仿宋" w:eastAsia="仿宋"/>
          <w:b/>
          <w:sz w:val="21"/>
        </w:rPr>
      </w:pPr>
      <w:r>
        <w:rPr>
          <w:rFonts w:hint="eastAsia" w:ascii="仿宋" w:hAnsi="仿宋" w:eastAsia="仿宋"/>
          <w:b/>
          <w:sz w:val="21"/>
        </w:rPr>
        <w:t>3、执行功能任务程序制作</w:t>
      </w:r>
    </w:p>
    <w:p>
      <w:pPr>
        <w:pStyle w:val="6"/>
        <w:spacing w:line="360" w:lineRule="auto"/>
        <w:ind w:firstLine="482"/>
        <w:contextualSpacing/>
        <w:rPr>
          <w:rFonts w:ascii="仿宋" w:hAnsi="仿宋" w:eastAsia="仿宋"/>
          <w:sz w:val="21"/>
          <w:szCs w:val="21"/>
        </w:rPr>
      </w:pPr>
      <w:bookmarkStart w:id="50" w:name="OLE_LINK221"/>
      <w:bookmarkStart w:id="51" w:name="OLE_LINK222"/>
      <w:r>
        <w:rPr>
          <w:rFonts w:hint="eastAsia" w:ascii="仿宋" w:hAnsi="仿宋" w:eastAsia="仿宋"/>
          <w:sz w:val="21"/>
          <w:szCs w:val="21"/>
        </w:rPr>
        <w:t>3.</w:t>
      </w:r>
      <w:bookmarkEnd w:id="50"/>
      <w:bookmarkEnd w:id="51"/>
      <w:r>
        <w:rPr>
          <w:rFonts w:hint="eastAsia" w:ascii="仿宋" w:hAnsi="仿宋" w:eastAsia="仿宋"/>
          <w:sz w:val="21"/>
          <w:szCs w:val="21"/>
        </w:rPr>
        <w:t>1、服务数量：本项服务数量为4个，投标人应按采购人确认的研究方案分别完成任务程序开发、调试、部署和交付；每个程序应形成独立可运行版本及配套说明文件。</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3.2、服务周期：投标人应在合同签订及需求确认后提交开发计划，明确需求确认、原型测试、修改完善、正式交付和验收测试等节点，并按采购人项目进度配合调整。</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3.3、需求确认：正式开发前投标人应与采购人确认任务范式、刺激材料、被试信息字段、测试流程、设备环境、数据导出字段和验收测试方式，并形成可追溯的需求记录。</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3.4、交付方式：交付物应包括可运行程序、安装文件或部署包、任务参数配置文件、刺激材料文件、数据字段说明、使用说明书、测试报告以及采购人后续维护所需的必要源文件或可维护文件。</w:t>
      </w:r>
    </w:p>
    <w:p>
      <w:pPr>
        <w:pStyle w:val="6"/>
        <w:spacing w:line="360" w:lineRule="auto"/>
        <w:ind w:firstLine="482"/>
        <w:contextualSpacing/>
        <w:rPr>
          <w:rFonts w:ascii="仿宋" w:hAnsi="仿宋" w:eastAsia="仿宋"/>
          <w:sz w:val="21"/>
          <w:szCs w:val="21"/>
        </w:rPr>
      </w:pPr>
      <w:bookmarkStart w:id="52" w:name="OLE_LINK224"/>
      <w:bookmarkStart w:id="53" w:name="OLE_LINK223"/>
      <w:r>
        <w:rPr>
          <w:rFonts w:hint="eastAsia" w:ascii="仿宋" w:hAnsi="仿宋" w:eastAsia="仿宋"/>
          <w:sz w:val="21"/>
          <w:szCs w:val="21"/>
        </w:rPr>
        <w:t>3.</w:t>
      </w:r>
      <w:bookmarkEnd w:id="52"/>
      <w:bookmarkEnd w:id="53"/>
      <w:r>
        <w:rPr>
          <w:rFonts w:hint="eastAsia" w:ascii="仿宋" w:hAnsi="仿宋" w:eastAsia="仿宋"/>
          <w:sz w:val="21"/>
          <w:szCs w:val="21"/>
        </w:rPr>
        <w:t>5、安装部署与培训：投标人应完成采购人指定设备或环境下的安装部署、运行测试和模拟测试，并提供不少于1次使用培训，培训内容包括安装、参数设置、实验运行、数据导出、异常处理和数据备份。</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3.6、修改与质保：投标人应提供不少于2次调试修改服务。验收后在合同约定质保期内，对程序缺陷、安装运行问题或数据导出异常提供修复支持；因采购人新增研究需求产生的功能扩展，双方另行确认。</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3.7、知识产权与使用权：本项目形成的定制程序、任务配置、刺激材料和相关成果的使用权归采购人所有。未经采购人书面同意，投标人不得复制、传播、转让或用于其他项目。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3.8、数据安全与保密：投标人应对被试数据、研究方案、程序参数和测试结果严格保密，不得将相关资料用于本项目以外用途；服务完成后按采购人要求返还或删除涉及数据。</w:t>
      </w:r>
    </w:p>
    <w:p>
      <w:pPr>
        <w:pStyle w:val="6"/>
        <w:spacing w:line="360" w:lineRule="auto"/>
        <w:ind w:firstLine="482"/>
        <w:contextualSpacing/>
        <w:rPr>
          <w:rFonts w:ascii="仿宋" w:hAnsi="仿宋" w:eastAsia="仿宋"/>
          <w:sz w:val="21"/>
          <w:szCs w:val="21"/>
        </w:rPr>
      </w:pPr>
      <w:r>
        <w:rPr>
          <w:rFonts w:hint="eastAsia" w:ascii="仿宋" w:hAnsi="仿宋" w:eastAsia="仿宋"/>
          <w:sz w:val="21"/>
          <w:szCs w:val="21"/>
        </w:rPr>
        <w:t>3.9、验收标准：验收以程序功能完整性、任务流程符合研究方案、计时和数据记录准确性、导出文件可用性、运行稳定性、培训和说明文档完整性以及采购人现场或远程测试确认为依据。</w:t>
      </w:r>
    </w:p>
    <w:p>
      <w:pPr>
        <w:pStyle w:val="6"/>
        <w:spacing w:line="360" w:lineRule="auto"/>
        <w:ind w:firstLine="482"/>
        <w:contextualSpacing/>
        <w:rPr>
          <w:rFonts w:ascii="仿宋" w:hAnsi="仿宋" w:eastAsia="仿宋"/>
          <w:b/>
          <w:sz w:val="21"/>
        </w:rPr>
      </w:pPr>
      <w:r>
        <w:rPr>
          <w:rFonts w:hint="eastAsia" w:ascii="仿宋" w:hAnsi="仿宋" w:eastAsia="仿宋"/>
          <w:b/>
          <w:sz w:val="21"/>
        </w:rPr>
        <w:t>（三）技术要求</w:t>
      </w:r>
    </w:p>
    <w:p>
      <w:pPr>
        <w:pStyle w:val="6"/>
        <w:spacing w:line="360" w:lineRule="auto"/>
        <w:ind w:firstLine="482"/>
        <w:contextualSpacing/>
        <w:rPr>
          <w:rFonts w:ascii="仿宋" w:hAnsi="仿宋" w:eastAsia="仿宋"/>
          <w:b/>
          <w:sz w:val="21"/>
        </w:rPr>
      </w:pPr>
      <w:bookmarkStart w:id="54" w:name="OLE_LINK227"/>
      <w:bookmarkStart w:id="55" w:name="OLE_LINK228"/>
      <w:r>
        <w:rPr>
          <w:rFonts w:hint="eastAsia" w:ascii="仿宋" w:hAnsi="仿宋" w:eastAsia="仿宋"/>
          <w:b/>
          <w:sz w:val="21"/>
        </w:rPr>
        <w:t>1、ASQ问卷</w:t>
      </w:r>
      <w:bookmarkEnd w:id="54"/>
      <w:bookmarkEnd w:id="55"/>
    </w:p>
    <w:p>
      <w:pPr>
        <w:pStyle w:val="6"/>
        <w:spacing w:line="360" w:lineRule="auto"/>
        <w:ind w:firstLine="482"/>
        <w:contextualSpacing/>
        <w:rPr>
          <w:rFonts w:ascii="仿宋" w:hAnsi="仿宋" w:eastAsia="仿宋"/>
          <w:sz w:val="21"/>
        </w:rPr>
      </w:pPr>
      <w:r>
        <w:rPr>
          <w:rFonts w:hint="eastAsia" w:ascii="仿宋" w:hAnsi="仿宋" w:eastAsia="仿宋"/>
          <w:sz w:val="21"/>
        </w:rPr>
        <w:t>1.1、评估内容包括儿童综合发育筛查（测试一）和社会-情绪发育筛查（测试二）。要求测试一（ASQ-3）、测试二（ASQ:SE-2）。</w:t>
      </w:r>
    </w:p>
    <w:p>
      <w:pPr>
        <w:pStyle w:val="6"/>
        <w:spacing w:line="360" w:lineRule="auto"/>
        <w:ind w:firstLine="482"/>
        <w:contextualSpacing/>
        <w:rPr>
          <w:rFonts w:ascii="仿宋" w:hAnsi="仿宋" w:eastAsia="仿宋"/>
          <w:sz w:val="21"/>
        </w:rPr>
      </w:pPr>
      <w:r>
        <w:rPr>
          <w:rFonts w:hint="eastAsia" w:ascii="仿宋" w:hAnsi="仿宋" w:eastAsia="仿宋"/>
          <w:sz w:val="21"/>
        </w:rPr>
        <w:t>1.2、测试一适用于1个月0天-66个月0天月龄儿童，测试二适用于1个月0天-72个月0天月龄儿童。</w:t>
      </w:r>
    </w:p>
    <w:p>
      <w:pPr>
        <w:pStyle w:val="6"/>
        <w:spacing w:line="360" w:lineRule="auto"/>
        <w:ind w:firstLine="482"/>
        <w:contextualSpacing/>
        <w:rPr>
          <w:rFonts w:ascii="仿宋" w:hAnsi="仿宋" w:eastAsia="仿宋"/>
          <w:sz w:val="21"/>
        </w:rPr>
      </w:pPr>
      <w:r>
        <w:rPr>
          <w:rFonts w:hint="eastAsia" w:ascii="仿宋" w:hAnsi="仿宋" w:eastAsia="仿宋"/>
          <w:sz w:val="21"/>
        </w:rPr>
        <w:t>1.3、测试一和测试二具体内容要求如下：</w:t>
      </w:r>
    </w:p>
    <w:p>
      <w:pPr>
        <w:pStyle w:val="6"/>
        <w:spacing w:line="360" w:lineRule="auto"/>
        <w:ind w:firstLine="482"/>
        <w:contextualSpacing/>
        <w:rPr>
          <w:rFonts w:ascii="仿宋" w:hAnsi="仿宋" w:eastAsia="仿宋"/>
          <w:sz w:val="21"/>
        </w:rPr>
      </w:pPr>
      <w:r>
        <w:rPr>
          <w:rFonts w:hint="eastAsia" w:ascii="仿宋" w:hAnsi="仿宋" w:eastAsia="仿宋"/>
          <w:sz w:val="21"/>
        </w:rPr>
        <w:t>a)测试一分为21个月龄组：评估6岁以下儿童的身体发育，每份问卷共有五个能区：沟通能区：评估对语言的理解和口头表达能力；粗大动作：评估大肌肉的运动能力；精细动作：评估手和手指的运动和协调的能力；解决问题：评估玩玩具和解决问题的能力；个人-社会：评估单独社交性玩耍、玩玩具、自助技能以及与其他人互动的能力。</w:t>
      </w:r>
    </w:p>
    <w:p>
      <w:pPr>
        <w:pStyle w:val="6"/>
        <w:spacing w:line="360" w:lineRule="auto"/>
        <w:ind w:firstLine="482"/>
        <w:contextualSpacing/>
        <w:rPr>
          <w:rFonts w:ascii="仿宋" w:hAnsi="仿宋" w:eastAsia="仿宋"/>
          <w:sz w:val="21"/>
        </w:rPr>
      </w:pPr>
      <w:r>
        <w:rPr>
          <w:rFonts w:hint="eastAsia" w:ascii="仿宋" w:hAnsi="仿宋" w:eastAsia="仿宋"/>
          <w:sz w:val="21"/>
        </w:rPr>
        <w:t>b)测试二包括9个月龄组，评估评估6岁以下儿童的社会-情绪发展，心理健康水平，每份问卷共有七个能区：自我调控：使自己安静、安顿下来或适应生理或环境状况的能力或意愿；依从性：服从他人指令和遵守规则的能力或意愿；适应能力：成功地解决或应对生理需要（例如，睡觉、吃饭、排泄和安全）的能力；自主性：自行发起或无指令下行动（例如，自主移动）的能力或意愿；情感：展示感情和对他人的同情心的能力和意愿；社会-沟通：响应或自发发出言语或非言语信号来表示兴趣、需求、感觉、感情或内部状态的能力或意愿；人际互动：回应或发起与父母、其他成人和同龄儿童的社交反应的能力或意愿。</w:t>
      </w:r>
    </w:p>
    <w:p>
      <w:pPr>
        <w:pStyle w:val="6"/>
        <w:spacing w:line="360" w:lineRule="auto"/>
        <w:ind w:firstLine="482"/>
        <w:contextualSpacing/>
        <w:rPr>
          <w:rFonts w:ascii="仿宋" w:hAnsi="仿宋" w:eastAsia="仿宋"/>
          <w:b/>
          <w:sz w:val="21"/>
        </w:rPr>
      </w:pPr>
      <w:r>
        <w:rPr>
          <w:rFonts w:hint="eastAsia" w:ascii="仿宋" w:hAnsi="仿宋" w:eastAsia="仿宋"/>
          <w:b/>
          <w:sz w:val="21"/>
        </w:rPr>
        <w:t>2、近红外数据处理</w:t>
      </w:r>
    </w:p>
    <w:p>
      <w:pPr>
        <w:pStyle w:val="6"/>
        <w:spacing w:line="360" w:lineRule="auto"/>
        <w:ind w:firstLine="482"/>
        <w:contextualSpacing/>
        <w:rPr>
          <w:rFonts w:ascii="仿宋" w:hAnsi="仿宋" w:eastAsia="仿宋"/>
          <w:sz w:val="21"/>
        </w:rPr>
      </w:pPr>
      <w:r>
        <w:rPr>
          <w:rFonts w:hint="eastAsia" w:ascii="仿宋" w:hAnsi="仿宋" w:eastAsia="仿宋"/>
          <w:sz w:val="21"/>
        </w:rPr>
        <w:t>2.1、用于儿童认知发展、脑功能研究、临床科研项目及近红外脑功能数据的整理、预处理、统计分析和结果报告等事宜。</w:t>
      </w:r>
    </w:p>
    <w:p>
      <w:pPr>
        <w:pStyle w:val="6"/>
        <w:spacing w:line="360" w:lineRule="auto"/>
        <w:ind w:firstLine="482"/>
        <w:contextualSpacing/>
        <w:rPr>
          <w:rFonts w:ascii="仿宋" w:hAnsi="仿宋" w:eastAsia="仿宋"/>
          <w:sz w:val="21"/>
        </w:rPr>
      </w:pPr>
      <w:r>
        <w:rPr>
          <w:rFonts w:hint="eastAsia" w:ascii="仿宋" w:hAnsi="仿宋" w:eastAsia="仿宋"/>
          <w:sz w:val="21"/>
        </w:rPr>
        <w:t>2.2、服务内容包括近红外原始数据接收、数据质量评估、预处理流程建立、血氧信号指标提取、统计分析、结果可视化、分析报告撰写及必要的技术沟通支持。</w:t>
      </w:r>
    </w:p>
    <w:p>
      <w:pPr>
        <w:pStyle w:val="6"/>
        <w:spacing w:line="360" w:lineRule="auto"/>
        <w:ind w:firstLine="482"/>
        <w:contextualSpacing/>
        <w:rPr>
          <w:rFonts w:ascii="仿宋" w:hAnsi="仿宋" w:eastAsia="仿宋"/>
          <w:sz w:val="21"/>
        </w:rPr>
      </w:pPr>
      <w:r>
        <w:rPr>
          <w:rFonts w:hint="eastAsia" w:ascii="仿宋" w:hAnsi="仿宋" w:eastAsia="仿宋"/>
          <w:sz w:val="21"/>
        </w:rPr>
        <w:t>2.3、服务团队具备功能近红外光谱（fNIRS）数据处理分析经验，熟悉儿童或临床科研数据特点，需提供既往同类项目服务或技术能力证明材料。</w:t>
      </w:r>
    </w:p>
    <w:p>
      <w:pPr>
        <w:pStyle w:val="6"/>
        <w:spacing w:line="360" w:lineRule="auto"/>
        <w:ind w:firstLine="482"/>
        <w:contextualSpacing/>
        <w:rPr>
          <w:rFonts w:ascii="仿宋" w:hAnsi="仿宋" w:eastAsia="仿宋"/>
          <w:sz w:val="21"/>
        </w:rPr>
      </w:pPr>
      <w:r>
        <w:rPr>
          <w:rFonts w:hint="eastAsia" w:ascii="仿宋" w:hAnsi="仿宋" w:eastAsia="仿宋"/>
          <w:sz w:val="21"/>
        </w:rPr>
        <w:t>2.4、支持主流近红外设备导出的原始数据或通用数据格式，能够整理受试者基本信息、任务事件标记、通道位置信息、行为记录及实验分组信息，并形成可追溯的数据目录。</w:t>
      </w:r>
    </w:p>
    <w:p>
      <w:pPr>
        <w:pStyle w:val="6"/>
        <w:spacing w:line="360" w:lineRule="auto"/>
        <w:ind w:firstLine="482"/>
        <w:contextualSpacing/>
        <w:rPr>
          <w:rFonts w:ascii="仿宋" w:hAnsi="仿宋" w:eastAsia="仿宋"/>
          <w:sz w:val="21"/>
        </w:rPr>
      </w:pPr>
      <w:r>
        <w:rPr>
          <w:rFonts w:hint="eastAsia" w:ascii="仿宋" w:hAnsi="仿宋" w:eastAsia="仿宋"/>
          <w:sz w:val="21"/>
        </w:rPr>
        <w:t>2.5、需开展数据质量控制，包括原始信号完整性检查、通道质量评估、信噪比评估、缺失数据标记、异常被试或异常通道识别，并出具数据质控说明。</w:t>
      </w:r>
    </w:p>
    <w:p>
      <w:pPr>
        <w:pStyle w:val="6"/>
        <w:spacing w:line="360" w:lineRule="auto"/>
        <w:ind w:firstLine="482"/>
        <w:contextualSpacing/>
        <w:rPr>
          <w:rFonts w:ascii="仿宋" w:hAnsi="仿宋" w:eastAsia="仿宋"/>
          <w:sz w:val="21"/>
        </w:rPr>
      </w:pPr>
      <w:r>
        <w:rPr>
          <w:rFonts w:hint="eastAsia" w:ascii="仿宋" w:hAnsi="仿宋" w:eastAsia="仿宋"/>
          <w:sz w:val="21"/>
        </w:rPr>
        <w:t>2.6、需完成标准化预处理流程，包括但不限于光强信号转换、光密度转换、运动伪迹识别与校正、滤波、基线校正、坏通道处理、血红蛋白浓度变化量计算等。</w:t>
      </w:r>
    </w:p>
    <w:p>
      <w:pPr>
        <w:pStyle w:val="6"/>
        <w:spacing w:line="360" w:lineRule="auto"/>
        <w:ind w:firstLine="482"/>
        <w:contextualSpacing/>
        <w:rPr>
          <w:rFonts w:ascii="仿宋" w:hAnsi="仿宋" w:eastAsia="仿宋"/>
          <w:sz w:val="21"/>
        </w:rPr>
      </w:pPr>
      <w:r>
        <w:rPr>
          <w:rFonts w:hint="eastAsia" w:ascii="仿宋" w:hAnsi="仿宋" w:eastAsia="仿宋"/>
          <w:sz w:val="21"/>
        </w:rPr>
        <w:t>2.7、应能够根据研究设计完成任务态或静息态分析。任务态分析包括事件或区组设计建模、条件对比、感兴趣通道或脑区指标提取；静息态分析包括功能连接、相关矩阵、网络指标或其他经双方确认的分析内容。</w:t>
      </w:r>
    </w:p>
    <w:p>
      <w:pPr>
        <w:pStyle w:val="6"/>
        <w:spacing w:line="360" w:lineRule="auto"/>
        <w:ind w:firstLine="482"/>
        <w:contextualSpacing/>
        <w:rPr>
          <w:rFonts w:ascii="仿宋" w:hAnsi="仿宋" w:eastAsia="仿宋"/>
          <w:sz w:val="21"/>
        </w:rPr>
      </w:pPr>
      <w:r>
        <w:rPr>
          <w:rFonts w:hint="eastAsia" w:ascii="仿宋" w:hAnsi="仿宋" w:eastAsia="仿宋"/>
          <w:sz w:val="21"/>
        </w:rPr>
        <w:t>2.8、分析结果需至少包括氧合血红蛋白（HbO）、脱氧血红蛋白（HbR）等核心指标，并能根据研究需要输出均值、峰值、积分值、斜率、激活强度、连接强度等可用于统计检验的指标。</w:t>
      </w:r>
    </w:p>
    <w:p>
      <w:pPr>
        <w:pStyle w:val="6"/>
        <w:spacing w:line="360" w:lineRule="auto"/>
        <w:ind w:firstLine="482"/>
        <w:contextualSpacing/>
        <w:rPr>
          <w:rFonts w:ascii="仿宋" w:hAnsi="仿宋" w:eastAsia="仿宋"/>
          <w:sz w:val="21"/>
        </w:rPr>
      </w:pPr>
      <w:r>
        <w:rPr>
          <w:rFonts w:hint="eastAsia" w:ascii="仿宋" w:hAnsi="仿宋" w:eastAsia="仿宋"/>
          <w:sz w:val="21"/>
        </w:rPr>
        <w:t>2.9、需完成统计分析和可视化，包括组内/组间比较、条件比较、相关分析或回归分析等；输出图表应满足科研汇报和论文撰写的基本要求。</w:t>
      </w:r>
    </w:p>
    <w:p>
      <w:pPr>
        <w:pStyle w:val="6"/>
        <w:spacing w:line="360" w:lineRule="auto"/>
        <w:ind w:firstLine="482"/>
        <w:contextualSpacing/>
        <w:rPr>
          <w:rFonts w:ascii="仿宋" w:hAnsi="仿宋" w:eastAsia="仿宋"/>
          <w:sz w:val="21"/>
        </w:rPr>
      </w:pPr>
      <w:r>
        <w:rPr>
          <w:rFonts w:hint="eastAsia" w:ascii="仿宋" w:hAnsi="仿宋" w:eastAsia="仿宋"/>
          <w:sz w:val="21"/>
        </w:rPr>
        <w:t>2.10、需提供完整交付物，包括清洗后的数据文件、指标汇总表、统计结果表、可视化图件、数据质控报告、分析方法说明、结果解释报告及可复核的分析流程文件。</w:t>
      </w:r>
    </w:p>
    <w:p>
      <w:pPr>
        <w:pStyle w:val="6"/>
        <w:spacing w:line="360" w:lineRule="auto"/>
        <w:ind w:firstLine="482"/>
        <w:contextualSpacing/>
        <w:rPr>
          <w:rFonts w:ascii="仿宋" w:hAnsi="仿宋" w:eastAsia="仿宋"/>
          <w:sz w:val="21"/>
        </w:rPr>
      </w:pPr>
      <w:r>
        <w:rPr>
          <w:rFonts w:hint="eastAsia" w:ascii="仿宋" w:hAnsi="仿宋" w:eastAsia="仿宋"/>
          <w:sz w:val="21"/>
        </w:rPr>
        <w:t>2.11、服务过程中应严格遵守数据安全和隐私保护要求。未经采购人书面同意，不得复制、转交、上传、公开或用于本项目以外用途；服务完成后按采购人要求返还或删除数据。</w:t>
      </w:r>
    </w:p>
    <w:p>
      <w:pPr>
        <w:pStyle w:val="6"/>
        <w:spacing w:line="360" w:lineRule="auto"/>
        <w:ind w:firstLine="482"/>
        <w:contextualSpacing/>
        <w:rPr>
          <w:rFonts w:ascii="仿宋" w:hAnsi="仿宋" w:eastAsia="仿宋"/>
          <w:sz w:val="21"/>
        </w:rPr>
      </w:pPr>
      <w:r>
        <w:rPr>
          <w:rFonts w:hint="eastAsia" w:ascii="仿宋" w:hAnsi="仿宋" w:eastAsia="仿宋"/>
          <w:sz w:val="21"/>
        </w:rPr>
        <w:t>2.12、需提供不少于2次技术沟通或线上培训，内容包括数据质控结果解释、分析流程说明、交付文件使用方法及后续论文或项目申报中结果表述建议。</w:t>
      </w:r>
    </w:p>
    <w:p>
      <w:pPr>
        <w:pStyle w:val="6"/>
        <w:spacing w:line="360" w:lineRule="auto"/>
        <w:ind w:firstLine="482"/>
        <w:contextualSpacing/>
        <w:rPr>
          <w:rFonts w:ascii="仿宋" w:hAnsi="仿宋" w:eastAsia="仿宋"/>
          <w:sz w:val="21"/>
        </w:rPr>
      </w:pPr>
      <w:r>
        <w:rPr>
          <w:rFonts w:hint="eastAsia" w:ascii="仿宋" w:hAnsi="仿宋" w:eastAsia="仿宋"/>
          <w:sz w:val="21"/>
        </w:rPr>
        <w:t>2.13、服务周期、数据批次、分析指标和报告版本应根据采购人项目进度实施。投标人在接收完整数据和研究方案后提交分析计划，经采购人确认后开展正式分析。</w:t>
      </w:r>
    </w:p>
    <w:p>
      <w:pPr>
        <w:pStyle w:val="6"/>
        <w:spacing w:line="360" w:lineRule="auto"/>
        <w:ind w:firstLine="482"/>
        <w:contextualSpacing/>
        <w:rPr>
          <w:rFonts w:ascii="仿宋" w:hAnsi="仿宋" w:eastAsia="仿宋"/>
          <w:sz w:val="21"/>
        </w:rPr>
      </w:pPr>
      <w:r>
        <w:rPr>
          <w:rFonts w:hint="eastAsia" w:ascii="仿宋" w:hAnsi="仿宋" w:eastAsia="仿宋"/>
          <w:sz w:val="21"/>
        </w:rPr>
        <w:t>2.14、验收以交付物完整性、数据质控说明、分析流程可复核性、统计结果与图表可读性、报告内容准确性及采购人确认的技术要求为依据。</w:t>
      </w:r>
    </w:p>
    <w:p>
      <w:pPr>
        <w:pStyle w:val="6"/>
        <w:spacing w:line="360" w:lineRule="auto"/>
        <w:ind w:firstLine="482"/>
        <w:contextualSpacing/>
        <w:rPr>
          <w:rFonts w:ascii="仿宋" w:hAnsi="仿宋" w:eastAsia="仿宋"/>
          <w:b/>
          <w:sz w:val="21"/>
        </w:rPr>
      </w:pPr>
      <w:r>
        <w:rPr>
          <w:rFonts w:hint="eastAsia" w:ascii="仿宋" w:hAnsi="仿宋" w:eastAsia="仿宋"/>
          <w:b/>
          <w:sz w:val="21"/>
        </w:rPr>
        <w:t>3、执行功能任务程序制作</w:t>
      </w:r>
    </w:p>
    <w:p>
      <w:pPr>
        <w:pStyle w:val="6"/>
        <w:spacing w:line="360" w:lineRule="auto"/>
        <w:ind w:firstLine="482"/>
        <w:contextualSpacing/>
        <w:rPr>
          <w:rFonts w:ascii="仿宋" w:hAnsi="仿宋" w:eastAsia="仿宋"/>
          <w:sz w:val="21"/>
        </w:rPr>
      </w:pPr>
      <w:r>
        <w:rPr>
          <w:rFonts w:hint="eastAsia" w:ascii="仿宋" w:hAnsi="仿宋" w:eastAsia="仿宋"/>
          <w:sz w:val="21"/>
        </w:rPr>
        <w:t>3.1、用于儿童认知发展、执行功能评估、科研项目实验采集及行为学数据采集等事宜。</w:t>
      </w:r>
    </w:p>
    <w:p>
      <w:pPr>
        <w:pStyle w:val="6"/>
        <w:spacing w:line="360" w:lineRule="auto"/>
        <w:ind w:firstLine="482"/>
        <w:contextualSpacing/>
        <w:rPr>
          <w:rFonts w:ascii="仿宋" w:hAnsi="仿宋" w:eastAsia="仿宋"/>
          <w:sz w:val="21"/>
        </w:rPr>
      </w:pPr>
      <w:r>
        <w:rPr>
          <w:rFonts w:hint="eastAsia" w:ascii="仿宋" w:hAnsi="仿宋" w:eastAsia="仿宋"/>
          <w:sz w:val="21"/>
        </w:rPr>
        <w:t>3.2、服务内容包括执行功能任务程序设计、界面与刺激材料开发、实验流程控制、数据采集记录、结果导出、程序部署、测试调试和使用培训等。</w:t>
      </w:r>
    </w:p>
    <w:p>
      <w:pPr>
        <w:pStyle w:val="6"/>
        <w:spacing w:line="360" w:lineRule="auto"/>
        <w:ind w:firstLine="482"/>
        <w:contextualSpacing/>
        <w:rPr>
          <w:rFonts w:ascii="仿宋" w:hAnsi="仿宋" w:eastAsia="仿宋"/>
          <w:sz w:val="21"/>
        </w:rPr>
      </w:pPr>
      <w:r>
        <w:rPr>
          <w:rFonts w:hint="eastAsia" w:ascii="仿宋" w:hAnsi="仿宋" w:eastAsia="仿宋"/>
          <w:sz w:val="21"/>
        </w:rPr>
        <w:t>3.3、服务团队具备心理学、儿童发展或认知实验程序开发经验，能够依据采购人研究方案开发符合实验范式要求的任务程序，需提供同类项目服务或技术能力证明材料。</w:t>
      </w:r>
    </w:p>
    <w:p>
      <w:pPr>
        <w:pStyle w:val="6"/>
        <w:spacing w:line="360" w:lineRule="auto"/>
        <w:ind w:firstLine="482"/>
        <w:contextualSpacing/>
        <w:rPr>
          <w:rFonts w:ascii="仿宋" w:hAnsi="仿宋" w:eastAsia="仿宋"/>
          <w:sz w:val="21"/>
        </w:rPr>
      </w:pPr>
      <w:r>
        <w:rPr>
          <w:rFonts w:hint="eastAsia" w:ascii="仿宋" w:hAnsi="仿宋" w:eastAsia="仿宋"/>
          <w:sz w:val="21"/>
        </w:rPr>
        <w:t>3.4、程序应支持至少三类执行功能任务模块开发，包括抑制控制、工作记忆和认知灵活性。具体任务可根据研究方案设置为Go/No-Go、Flanker、Stroop、N-back、数字广度、维度转换卡片分类或同类范式。</w:t>
      </w:r>
    </w:p>
    <w:p>
      <w:pPr>
        <w:pStyle w:val="6"/>
        <w:spacing w:line="360" w:lineRule="auto"/>
        <w:ind w:firstLine="482"/>
        <w:contextualSpacing/>
        <w:rPr>
          <w:rFonts w:ascii="仿宋" w:hAnsi="仿宋" w:eastAsia="仿宋"/>
          <w:sz w:val="21"/>
        </w:rPr>
      </w:pPr>
      <w:r>
        <w:rPr>
          <w:rFonts w:hint="eastAsia" w:ascii="仿宋" w:hAnsi="仿宋" w:eastAsia="仿宋"/>
          <w:sz w:val="21"/>
        </w:rPr>
        <w:t>3.5、程序需支持任务参数配置，包括刺激材料、试次数量、练习阶段、正式测试阶段、刺激呈现时长、刺激间隔、反馈规则、随机化规则、按键或触屏反应方式等。</w:t>
      </w:r>
    </w:p>
    <w:p>
      <w:pPr>
        <w:pStyle w:val="6"/>
        <w:spacing w:line="360" w:lineRule="auto"/>
        <w:ind w:firstLine="482"/>
        <w:contextualSpacing/>
        <w:rPr>
          <w:rFonts w:ascii="仿宋" w:hAnsi="仿宋" w:eastAsia="仿宋"/>
          <w:sz w:val="21"/>
        </w:rPr>
      </w:pPr>
      <w:r>
        <w:rPr>
          <w:rFonts w:hint="eastAsia" w:ascii="仿宋" w:hAnsi="仿宋" w:eastAsia="仿宋"/>
          <w:sz w:val="21"/>
        </w:rPr>
        <w:t>3.6、程序具备毫秒级时间记录能力，准确记录刺激呈现时间、反应时间、正确率、漏反应、误反应、试次编号、条件类型、被试编号、任务版本及时间戳等关键数据。</w:t>
      </w:r>
    </w:p>
    <w:p>
      <w:pPr>
        <w:pStyle w:val="6"/>
        <w:spacing w:line="360" w:lineRule="auto"/>
        <w:ind w:firstLine="482"/>
        <w:contextualSpacing/>
        <w:rPr>
          <w:rFonts w:ascii="仿宋" w:hAnsi="仿宋" w:eastAsia="仿宋"/>
          <w:sz w:val="21"/>
        </w:rPr>
      </w:pPr>
      <w:r>
        <w:rPr>
          <w:rFonts w:hint="eastAsia" w:ascii="仿宋" w:hAnsi="仿宋" w:eastAsia="仿宋"/>
          <w:sz w:val="21"/>
        </w:rPr>
        <w:t>3.7、程序界面应适用于儿童测试场景，界面简洁、操作清晰，支持指导语、练习反馈、正式测试提示、暂停和重新开始等功能。文字、图片、声音或动画刺激可按采购人要求定制。</w:t>
      </w:r>
    </w:p>
    <w:p>
      <w:pPr>
        <w:pStyle w:val="6"/>
        <w:spacing w:line="360" w:lineRule="auto"/>
        <w:ind w:firstLine="482"/>
        <w:contextualSpacing/>
        <w:rPr>
          <w:rFonts w:ascii="仿宋" w:hAnsi="仿宋" w:eastAsia="仿宋"/>
          <w:sz w:val="21"/>
        </w:rPr>
      </w:pPr>
      <w:r>
        <w:rPr>
          <w:rFonts w:hint="eastAsia" w:ascii="仿宋" w:hAnsi="仿宋" w:eastAsia="仿宋"/>
          <w:sz w:val="21"/>
        </w:rPr>
        <w:t>3.8、程序需支持实验流程标准化控制，包括被试信息录入、任务顺序设置、自动进入下一阶段、异常退出保护、数据自动保存和重复测试标记等。</w:t>
      </w:r>
    </w:p>
    <w:p>
      <w:pPr>
        <w:pStyle w:val="6"/>
        <w:spacing w:line="360" w:lineRule="auto"/>
        <w:ind w:firstLine="482"/>
        <w:contextualSpacing/>
        <w:rPr>
          <w:rFonts w:ascii="仿宋" w:hAnsi="仿宋" w:eastAsia="仿宋"/>
          <w:sz w:val="21"/>
        </w:rPr>
      </w:pPr>
      <w:r>
        <w:rPr>
          <w:rFonts w:hint="eastAsia" w:ascii="仿宋" w:hAnsi="仿宋" w:eastAsia="仿宋"/>
          <w:sz w:val="21"/>
        </w:rPr>
        <w:t>3.9、需提供数据导出功能，导出格式应包括Excel或CSV等通用格式，字段命名清晰，能够直接用于后续统计分析；原始反应数据和汇总指标应分别保存。</w:t>
      </w:r>
    </w:p>
    <w:p>
      <w:pPr>
        <w:pStyle w:val="6"/>
        <w:spacing w:line="360" w:lineRule="auto"/>
        <w:ind w:firstLine="482"/>
        <w:contextualSpacing/>
        <w:rPr>
          <w:rFonts w:ascii="仿宋" w:hAnsi="仿宋" w:eastAsia="仿宋"/>
          <w:sz w:val="21"/>
        </w:rPr>
      </w:pPr>
      <w:r>
        <w:rPr>
          <w:rFonts w:hint="eastAsia" w:ascii="仿宋" w:hAnsi="仿宋" w:eastAsia="仿宋"/>
          <w:sz w:val="21"/>
        </w:rPr>
        <w:t>3.10、程序应可在采购人指定的常用电脑或平板环境中稳定运行，正式交付前需完成安装部署、功能测试、计时测试和模拟被试测试，并提交测试记录。</w:t>
      </w:r>
    </w:p>
    <w:p>
      <w:pPr>
        <w:pStyle w:val="6"/>
        <w:spacing w:line="360" w:lineRule="auto"/>
        <w:ind w:firstLine="482"/>
        <w:contextualSpacing/>
        <w:rPr>
          <w:rFonts w:ascii="仿宋" w:hAnsi="仿宋" w:eastAsia="仿宋"/>
          <w:sz w:val="21"/>
        </w:rPr>
      </w:pPr>
      <w:r>
        <w:rPr>
          <w:rFonts w:hint="eastAsia" w:ascii="仿宋" w:hAnsi="仿宋" w:eastAsia="仿宋"/>
          <w:sz w:val="21"/>
        </w:rPr>
        <w:t>3.11、需根据采购人研究需要输出汇总指标，包括但不限于平均反应时、正确率、错误率、冲突效应、工作记忆得分、转换成本、任务完成率等。</w:t>
      </w:r>
    </w:p>
    <w:p>
      <w:pPr>
        <w:pStyle w:val="6"/>
        <w:spacing w:line="360" w:lineRule="auto"/>
        <w:ind w:firstLine="482"/>
        <w:contextualSpacing/>
        <w:rPr>
          <w:rFonts w:ascii="仿宋" w:hAnsi="仿宋" w:eastAsia="仿宋"/>
          <w:sz w:val="21"/>
        </w:rPr>
      </w:pPr>
      <w:r>
        <w:rPr>
          <w:rFonts w:hint="eastAsia" w:ascii="仿宋" w:hAnsi="仿宋" w:eastAsia="仿宋"/>
          <w:sz w:val="21"/>
        </w:rPr>
        <w:t>3.12、需提供完整交付物，包括可运行程序、安装文件或部署包、任务参数配置文件、刺激材料文件、数据字段说明、使用说明书、测试报告和必要的源文件或可维护文件。</w:t>
      </w:r>
    </w:p>
    <w:p>
      <w:pPr>
        <w:pStyle w:val="6"/>
        <w:spacing w:line="360" w:lineRule="auto"/>
        <w:ind w:firstLine="482"/>
        <w:contextualSpacing/>
        <w:rPr>
          <w:rFonts w:ascii="仿宋" w:hAnsi="仿宋" w:eastAsia="仿宋"/>
          <w:sz w:val="21"/>
        </w:rPr>
      </w:pPr>
      <w:r>
        <w:rPr>
          <w:rFonts w:hint="eastAsia" w:ascii="仿宋" w:hAnsi="仿宋" w:eastAsia="仿宋"/>
          <w:sz w:val="21"/>
        </w:rPr>
        <w:t>3.13、程序及定制开发成果的使用权应归采购人所有。未经采购人书面同意，投标人不得将本项目程序、刺激材料、被试数据或研究方案用于其他项目。</w:t>
      </w:r>
    </w:p>
    <w:p>
      <w:pPr>
        <w:pStyle w:val="6"/>
        <w:spacing w:line="360" w:lineRule="auto"/>
        <w:ind w:firstLine="482"/>
        <w:contextualSpacing/>
        <w:rPr>
          <w:rFonts w:ascii="仿宋" w:hAnsi="仿宋" w:eastAsia="仿宋"/>
          <w:sz w:val="21"/>
        </w:rPr>
      </w:pPr>
      <w:r>
        <w:rPr>
          <w:rFonts w:hint="eastAsia" w:ascii="仿宋" w:hAnsi="仿宋" w:eastAsia="仿宋"/>
          <w:sz w:val="21"/>
        </w:rPr>
        <w:t>3.14、需提供不少于2次调试修改服务和不少于1次使用培训，培训内容包括程序安装、参数设置、实验运行、数据导出、常见问题处理和数据备份。</w:t>
      </w:r>
    </w:p>
    <w:p>
      <w:pPr>
        <w:pStyle w:val="6"/>
        <w:spacing w:line="360" w:lineRule="auto"/>
        <w:ind w:firstLine="482"/>
        <w:contextualSpacing/>
        <w:rPr>
          <w:rFonts w:ascii="仿宋" w:hAnsi="仿宋" w:eastAsia="仿宋"/>
          <w:sz w:val="21"/>
        </w:rPr>
      </w:pPr>
      <w:r>
        <w:rPr>
          <w:rFonts w:hint="eastAsia" w:ascii="仿宋" w:hAnsi="仿宋" w:eastAsia="仿宋"/>
          <w:sz w:val="21"/>
        </w:rPr>
        <w:t>3.15、验收以程序功能完整性、任务流程符合研究方案、数据记录准确性、导出文件可用性、运行稳定性、说明文档完整性及采购人现场或远程测试确认为依据。</w:t>
      </w:r>
    </w:p>
    <w:p>
      <w:pPr>
        <w:pStyle w:val="6"/>
        <w:spacing w:line="360" w:lineRule="auto"/>
        <w:ind w:firstLine="482"/>
        <w:contextualSpacing/>
        <w:rPr>
          <w:rFonts w:ascii="仿宋" w:hAnsi="仿宋" w:eastAsia="仿宋"/>
          <w:b/>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9包 测试化验加工委托服务9</w:t>
      </w:r>
    </w:p>
    <w:p>
      <w:pPr>
        <w:pStyle w:val="6"/>
        <w:spacing w:line="360" w:lineRule="auto"/>
        <w:ind w:firstLine="482"/>
        <w:contextualSpacing/>
        <w:rPr>
          <w:rFonts w:ascii="仿宋" w:hAnsi="仿宋" w:eastAsia="仿宋"/>
          <w:b/>
          <w:sz w:val="21"/>
        </w:rPr>
      </w:pPr>
      <w:r>
        <w:rPr>
          <w:rFonts w:hint="eastAsia" w:ascii="仿宋" w:hAnsi="仿宋" w:eastAsia="仿宋"/>
          <w:b/>
          <w:sz w:val="21"/>
        </w:rPr>
        <w:t>（一）委托服务</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7"/>
        <w:gridCol w:w="1446"/>
        <w:gridCol w:w="1560"/>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b/>
                <w:bCs/>
                <w:kern w:val="0"/>
                <w:szCs w:val="21"/>
              </w:rPr>
            </w:pPr>
            <w:r>
              <w:rPr>
                <w:rFonts w:hint="eastAsia" w:ascii="仿宋" w:hAnsi="仿宋" w:eastAsia="仿宋" w:cs="宋体"/>
                <w:b/>
                <w:bCs/>
                <w:kern w:val="0"/>
                <w:szCs w:val="21"/>
              </w:rPr>
              <w:t>项目明细名称</w:t>
            </w:r>
          </w:p>
        </w:tc>
        <w:tc>
          <w:tcPr>
            <w:tcW w:w="848" w:type="pct"/>
            <w:shd w:val="clear" w:color="auto" w:fill="auto"/>
            <w:noWrap/>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单位</w:t>
            </w:r>
          </w:p>
        </w:tc>
        <w:tc>
          <w:tcPr>
            <w:tcW w:w="915" w:type="pct"/>
            <w:shd w:val="clear" w:color="auto" w:fill="auto"/>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数量</w:t>
            </w:r>
          </w:p>
        </w:tc>
        <w:tc>
          <w:tcPr>
            <w:tcW w:w="1360" w:type="pct"/>
            <w:shd w:val="clear" w:color="auto" w:fill="auto"/>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单价限价（人民币元）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HE染色</w:t>
            </w:r>
          </w:p>
        </w:tc>
        <w:tc>
          <w:tcPr>
            <w:tcW w:w="848" w:type="pct"/>
            <w:shd w:val="clear" w:color="auto" w:fill="auto"/>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98</w:t>
            </w:r>
          </w:p>
        </w:tc>
        <w:tc>
          <w:tcPr>
            <w:tcW w:w="1360"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25.00</w:t>
            </w:r>
          </w:p>
        </w:tc>
      </w:tr>
    </w:tbl>
    <w:p>
      <w:pPr>
        <w:spacing w:line="360" w:lineRule="auto"/>
        <w:contextualSpacing/>
        <w:rPr>
          <w:rFonts w:ascii="仿宋" w:hAnsi="仿宋" w:eastAsia="仿宋" w:cs="仿宋"/>
          <w:b/>
          <w:bCs/>
          <w:szCs w:val="21"/>
        </w:rPr>
      </w:pPr>
      <w:r>
        <w:rPr>
          <w:rFonts w:hint="eastAsia" w:ascii="仿宋" w:hAnsi="仿宋" w:eastAsia="仿宋" w:cs="仿宋"/>
          <w:b/>
          <w:bCs/>
          <w:szCs w:val="21"/>
        </w:rPr>
        <w:t>注：1）投标人所报委托服务明细单价不能超过上述单价限价，否则按废标处理。</w:t>
      </w:r>
    </w:p>
    <w:p>
      <w:pPr>
        <w:spacing w:line="360" w:lineRule="auto"/>
        <w:ind w:firstLine="422" w:firstLineChars="200"/>
        <w:contextualSpacing/>
        <w:rPr>
          <w:rFonts w:ascii="仿宋" w:hAnsi="仿宋" w:eastAsia="仿宋"/>
          <w:b/>
        </w:rPr>
      </w:pPr>
      <w:r>
        <w:rPr>
          <w:rFonts w:hint="eastAsia" w:ascii="仿宋" w:hAnsi="仿宋" w:eastAsia="仿宋" w:cs="仿宋"/>
          <w:b/>
          <w:bCs/>
          <w:szCs w:val="21"/>
        </w:rPr>
        <w:t>2）投标人所报数量不能低于上述委托服务中列明的数量，否则按废标处理。</w:t>
      </w:r>
    </w:p>
    <w:p>
      <w:pPr>
        <w:pStyle w:val="6"/>
        <w:spacing w:line="360" w:lineRule="auto"/>
        <w:ind w:firstLine="482"/>
        <w:contextualSpacing/>
        <w:rPr>
          <w:rFonts w:ascii="仿宋" w:hAnsi="仿宋" w:eastAsia="仿宋"/>
          <w:b/>
          <w:sz w:val="21"/>
        </w:rPr>
      </w:pPr>
      <w:r>
        <w:rPr>
          <w:rFonts w:hint="eastAsia" w:ascii="仿宋" w:hAnsi="仿宋" w:eastAsia="仿宋"/>
          <w:b/>
          <w:sz w:val="21"/>
        </w:rPr>
        <w:t>（二）商务要求</w:t>
      </w:r>
    </w:p>
    <w:p>
      <w:pPr>
        <w:pStyle w:val="6"/>
        <w:spacing w:line="360" w:lineRule="auto"/>
        <w:ind w:firstLine="482"/>
        <w:contextualSpacing/>
        <w:rPr>
          <w:rFonts w:ascii="仿宋" w:hAnsi="仿宋" w:eastAsia="仿宋"/>
          <w:sz w:val="21"/>
        </w:rPr>
      </w:pPr>
      <w:r>
        <w:rPr>
          <w:rFonts w:hint="eastAsia" w:ascii="仿宋" w:hAnsi="仿宋" w:eastAsia="仿宋"/>
          <w:sz w:val="21"/>
        </w:rPr>
        <w:t>1、结果交付及实施保障条件：</w:t>
      </w:r>
    </w:p>
    <w:p>
      <w:pPr>
        <w:pStyle w:val="6"/>
        <w:spacing w:line="360" w:lineRule="auto"/>
        <w:ind w:firstLine="482"/>
        <w:contextualSpacing/>
        <w:rPr>
          <w:rFonts w:ascii="仿宋" w:hAnsi="仿宋" w:eastAsia="仿宋"/>
          <w:sz w:val="21"/>
        </w:rPr>
      </w:pPr>
      <w:r>
        <w:rPr>
          <w:rFonts w:hint="eastAsia" w:ascii="仿宋" w:hAnsi="仿宋" w:eastAsia="仿宋"/>
          <w:sz w:val="21"/>
        </w:rPr>
        <w:t>1.1、交付时间：自提交合格样品起计算，在21个自然日内交付病理切片、蜡块、HE染色扫描文件。</w:t>
      </w:r>
    </w:p>
    <w:p>
      <w:pPr>
        <w:pStyle w:val="6"/>
        <w:spacing w:line="360" w:lineRule="auto"/>
        <w:ind w:firstLine="482"/>
        <w:contextualSpacing/>
        <w:rPr>
          <w:rFonts w:ascii="仿宋" w:hAnsi="仿宋" w:eastAsia="仿宋"/>
          <w:sz w:val="21"/>
        </w:rPr>
      </w:pPr>
      <w:r>
        <w:rPr>
          <w:rFonts w:hint="eastAsia" w:ascii="仿宋" w:hAnsi="仿宋" w:eastAsia="仿宋"/>
          <w:sz w:val="21"/>
        </w:rPr>
        <w:t>1.2、交付形式：提供样本的病理包埋蜡块、切片、HE染色片及切片扫描结果全部的原始文件。</w:t>
      </w:r>
    </w:p>
    <w:p>
      <w:pPr>
        <w:pStyle w:val="6"/>
        <w:spacing w:line="360" w:lineRule="auto"/>
        <w:ind w:firstLine="482"/>
        <w:contextualSpacing/>
        <w:rPr>
          <w:rFonts w:ascii="仿宋" w:hAnsi="仿宋" w:eastAsia="仿宋"/>
          <w:sz w:val="21"/>
        </w:rPr>
      </w:pPr>
      <w:r>
        <w:rPr>
          <w:rFonts w:hint="eastAsia" w:ascii="仿宋" w:hAnsi="仿宋" w:eastAsia="仿宋"/>
          <w:sz w:val="21"/>
        </w:rPr>
        <w:t>1.3、严格执行合同相关规定，对样本数据的保密。</w:t>
      </w:r>
    </w:p>
    <w:p>
      <w:pPr>
        <w:pStyle w:val="6"/>
        <w:spacing w:line="360" w:lineRule="auto"/>
        <w:ind w:firstLine="482"/>
        <w:contextualSpacing/>
        <w:rPr>
          <w:rFonts w:ascii="仿宋" w:hAnsi="仿宋" w:eastAsia="仿宋"/>
          <w:sz w:val="21"/>
        </w:rPr>
      </w:pPr>
      <w:r>
        <w:rPr>
          <w:rFonts w:hint="eastAsia" w:ascii="仿宋" w:hAnsi="仿宋" w:eastAsia="仿宋"/>
          <w:sz w:val="21"/>
        </w:rPr>
        <w:t>2、实施保障条件</w:t>
      </w:r>
    </w:p>
    <w:p>
      <w:pPr>
        <w:pStyle w:val="6"/>
        <w:spacing w:line="360" w:lineRule="auto"/>
        <w:ind w:firstLine="482"/>
        <w:contextualSpacing/>
        <w:rPr>
          <w:rFonts w:ascii="仿宋" w:hAnsi="仿宋" w:eastAsia="仿宋"/>
          <w:sz w:val="21"/>
        </w:rPr>
      </w:pPr>
      <w:r>
        <w:rPr>
          <w:rFonts w:hint="eastAsia" w:ascii="仿宋" w:hAnsi="仿宋" w:eastAsia="仿宋"/>
          <w:sz w:val="21"/>
        </w:rPr>
        <w:t>2.1、具备在21个自然日内完成提供样本的病理制片能力。</w:t>
      </w:r>
    </w:p>
    <w:p>
      <w:pPr>
        <w:pStyle w:val="6"/>
        <w:spacing w:line="360" w:lineRule="auto"/>
        <w:ind w:firstLine="482"/>
        <w:contextualSpacing/>
        <w:rPr>
          <w:rFonts w:ascii="仿宋" w:hAnsi="仿宋" w:eastAsia="仿宋"/>
          <w:sz w:val="21"/>
        </w:rPr>
      </w:pPr>
      <w:r>
        <w:rPr>
          <w:rFonts w:hint="eastAsia" w:ascii="仿宋" w:hAnsi="仿宋" w:eastAsia="仿宋"/>
          <w:sz w:val="21"/>
        </w:rPr>
        <w:t>2.2、团队项目参与人员具备专业的病理基础服务能力。</w:t>
      </w:r>
    </w:p>
    <w:p>
      <w:pPr>
        <w:pStyle w:val="6"/>
        <w:spacing w:line="360" w:lineRule="auto"/>
        <w:ind w:firstLine="482"/>
        <w:contextualSpacing/>
        <w:rPr>
          <w:rFonts w:ascii="仿宋" w:hAnsi="仿宋" w:eastAsia="仿宋"/>
          <w:sz w:val="21"/>
        </w:rPr>
      </w:pPr>
      <w:r>
        <w:rPr>
          <w:rFonts w:hint="eastAsia" w:ascii="仿宋" w:hAnsi="仿宋" w:eastAsia="仿宋"/>
          <w:sz w:val="21"/>
        </w:rPr>
        <w:t>3、售后服务</w:t>
      </w:r>
    </w:p>
    <w:p>
      <w:pPr>
        <w:pStyle w:val="6"/>
        <w:spacing w:line="360" w:lineRule="auto"/>
        <w:ind w:firstLine="482"/>
        <w:contextualSpacing/>
        <w:rPr>
          <w:rFonts w:ascii="仿宋" w:hAnsi="仿宋" w:eastAsia="仿宋"/>
          <w:sz w:val="21"/>
        </w:rPr>
      </w:pPr>
      <w:r>
        <w:rPr>
          <w:rFonts w:hint="eastAsia" w:ascii="仿宋" w:hAnsi="仿宋" w:eastAsia="仿宋"/>
          <w:sz w:val="21"/>
        </w:rPr>
        <w:t>3.1、数据验收合格后提供2年的售后服务，在服务期内，免费进行疑难问题解答，对数据分析结果和相关软件产品进行使用指导，并安排技术人员通过往来信函、电话、传真、电子邮件方式解答用户在数据使用过程中碰到的各种技术问题。</w:t>
      </w:r>
    </w:p>
    <w:p>
      <w:pPr>
        <w:pStyle w:val="6"/>
        <w:spacing w:line="360" w:lineRule="auto"/>
        <w:ind w:firstLine="482"/>
        <w:contextualSpacing/>
        <w:rPr>
          <w:rFonts w:ascii="仿宋" w:hAnsi="仿宋" w:eastAsia="仿宋"/>
          <w:sz w:val="21"/>
        </w:rPr>
      </w:pPr>
      <w:r>
        <w:rPr>
          <w:rFonts w:hint="eastAsia" w:ascii="仿宋" w:hAnsi="仿宋" w:eastAsia="仿宋"/>
          <w:sz w:val="21"/>
        </w:rPr>
        <w:t>3.2、咨询响应时间：1小时内回复，24小时内指派合格的技术人员进行回复。</w:t>
      </w:r>
    </w:p>
    <w:p>
      <w:pPr>
        <w:pStyle w:val="6"/>
        <w:spacing w:line="360" w:lineRule="auto"/>
        <w:ind w:firstLine="482"/>
        <w:rPr>
          <w:rFonts w:ascii="仿宋" w:hAnsi="仿宋" w:eastAsia="仿宋"/>
          <w:sz w:val="21"/>
        </w:rPr>
      </w:pPr>
      <w:r>
        <w:rPr>
          <w:rFonts w:hint="eastAsia" w:ascii="仿宋" w:hAnsi="仿宋" w:eastAsia="仿宋"/>
          <w:sz w:val="21"/>
        </w:rPr>
        <w:t>4.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rPr>
          <w:rFonts w:ascii="仿宋" w:hAnsi="仿宋" w:eastAsia="仿宋"/>
          <w:sz w:val="21"/>
        </w:rPr>
      </w:pPr>
      <w:r>
        <w:rPr>
          <w:rFonts w:hint="eastAsia" w:ascii="仿宋" w:hAnsi="仿宋" w:eastAsia="仿宋"/>
          <w:sz w:val="21"/>
        </w:rPr>
        <w:t>5.本项目产生的检测数据、分析结果及相关研究成果的知识产权归采购人所有。</w:t>
      </w:r>
    </w:p>
    <w:p>
      <w:pPr>
        <w:pStyle w:val="6"/>
        <w:spacing w:line="360" w:lineRule="auto"/>
        <w:ind w:firstLine="482"/>
        <w:contextualSpacing/>
        <w:rPr>
          <w:rFonts w:ascii="仿宋" w:hAnsi="仿宋" w:eastAsia="仿宋"/>
          <w:sz w:val="21"/>
        </w:rPr>
      </w:pPr>
      <w:r>
        <w:rPr>
          <w:rFonts w:hint="eastAsia" w:ascii="仿宋" w:hAnsi="仿宋" w:eastAsia="仿宋"/>
          <w:sz w:val="21"/>
        </w:rPr>
        <w:t>6.投标人应建立样品接收、登记、储存、处理、销毁的全流程管理制度，确保样品可追溯、可核查。</w:t>
      </w:r>
      <w:bookmarkStart w:id="56" w:name="OLE_LINK130"/>
      <w:bookmarkStart w:id="57" w:name="OLE_LINK129"/>
      <w:r>
        <w:rPr>
          <w:rFonts w:hint="eastAsia" w:ascii="仿宋" w:hAnsi="仿宋" w:eastAsia="仿宋"/>
          <w:sz w:val="21"/>
        </w:rPr>
        <w:t>需安排专人上门接收样品，并提供取样人员名单及联系方式。</w:t>
      </w:r>
      <w:bookmarkEnd w:id="56"/>
      <w:bookmarkEnd w:id="57"/>
    </w:p>
    <w:p>
      <w:pPr>
        <w:pStyle w:val="6"/>
        <w:spacing w:line="360" w:lineRule="auto"/>
        <w:ind w:firstLine="482"/>
        <w:contextualSpacing/>
        <w:rPr>
          <w:rFonts w:ascii="仿宋" w:hAnsi="仿宋" w:eastAsia="仿宋"/>
          <w:b/>
          <w:sz w:val="21"/>
        </w:rPr>
      </w:pPr>
      <w:r>
        <w:rPr>
          <w:rFonts w:hint="eastAsia" w:ascii="仿宋" w:hAnsi="仿宋" w:eastAsia="仿宋"/>
          <w:b/>
          <w:sz w:val="21"/>
        </w:rPr>
        <w:t>（三）技术要求</w:t>
      </w:r>
    </w:p>
    <w:p>
      <w:pPr>
        <w:pStyle w:val="6"/>
        <w:spacing w:line="360" w:lineRule="auto"/>
        <w:ind w:firstLine="482"/>
        <w:contextualSpacing/>
        <w:rPr>
          <w:rFonts w:ascii="仿宋" w:hAnsi="仿宋" w:eastAsia="仿宋"/>
          <w:sz w:val="21"/>
        </w:rPr>
      </w:pPr>
      <w:r>
        <w:rPr>
          <w:rFonts w:hint="eastAsia" w:ascii="仿宋" w:hAnsi="仿宋" w:eastAsia="仿宋"/>
          <w:bCs/>
          <w:sz w:val="21"/>
        </w:rPr>
        <w:t>1、</w:t>
      </w:r>
      <w:r>
        <w:rPr>
          <w:rFonts w:hint="eastAsia" w:ascii="仿宋" w:hAnsi="仿宋" w:eastAsia="仿宋"/>
          <w:sz w:val="21"/>
        </w:rPr>
        <w:t>实验平台需包含病理、蛋白、细胞、分子、生化检测、动物模型以及多组学分析为一体的全链条方法学。</w:t>
      </w:r>
    </w:p>
    <w:p>
      <w:pPr>
        <w:pStyle w:val="6"/>
        <w:spacing w:line="360" w:lineRule="auto"/>
        <w:ind w:firstLine="482"/>
        <w:contextualSpacing/>
        <w:rPr>
          <w:rFonts w:ascii="仿宋" w:hAnsi="仿宋" w:eastAsia="仿宋"/>
          <w:sz w:val="21"/>
        </w:rPr>
      </w:pPr>
      <w:r>
        <w:rPr>
          <w:rFonts w:hint="eastAsia" w:ascii="仿宋" w:hAnsi="仿宋" w:eastAsia="仿宋"/>
          <w:bCs/>
          <w:sz w:val="21"/>
        </w:rPr>
        <w:t>2、</w:t>
      </w:r>
      <w:r>
        <w:rPr>
          <w:rFonts w:hint="eastAsia" w:ascii="仿宋" w:hAnsi="仿宋" w:eastAsia="仿宋"/>
          <w:sz w:val="21"/>
        </w:rPr>
        <w:t>提供病理切片相关的图像扫描及分析结果数据，包含病理样本包埋块、HE染色切片，扫描结果文件和结果文件分析实验报告。</w:t>
      </w:r>
    </w:p>
    <w:p>
      <w:pPr>
        <w:pStyle w:val="6"/>
        <w:spacing w:line="360" w:lineRule="auto"/>
        <w:ind w:firstLine="482"/>
        <w:contextualSpacing/>
        <w:rPr>
          <w:rFonts w:ascii="仿宋" w:hAnsi="仿宋" w:eastAsia="仿宋"/>
          <w:sz w:val="21"/>
        </w:rPr>
      </w:pPr>
      <w:r>
        <w:rPr>
          <w:rFonts w:hint="eastAsia" w:ascii="仿宋" w:hAnsi="仿宋" w:eastAsia="仿宋"/>
          <w:sz w:val="21"/>
        </w:rPr>
        <w:t>3、项目管理实施要求：项目管理人员1人，具有中级及以上职称。</w:t>
      </w:r>
    </w:p>
    <w:p>
      <w:pPr>
        <w:pStyle w:val="6"/>
        <w:spacing w:line="360" w:lineRule="auto"/>
        <w:ind w:firstLine="482"/>
        <w:contextualSpacing/>
        <w:rPr>
          <w:rFonts w:ascii="仿宋" w:hAnsi="仿宋" w:eastAsia="仿宋"/>
          <w:sz w:val="21"/>
        </w:rPr>
      </w:pPr>
      <w:r>
        <w:rPr>
          <w:rFonts w:hint="eastAsia" w:ascii="仿宋" w:hAnsi="仿宋" w:eastAsia="仿宋"/>
          <w:sz w:val="21"/>
        </w:rPr>
        <w:t>4、分析要求及验收标准：分析报告需包括典型特征图片、阳性比例数据，结果交付报告包含PDF报告、excel阳性占比数据等。</w:t>
      </w:r>
    </w:p>
    <w:p>
      <w:pPr>
        <w:pStyle w:val="6"/>
        <w:spacing w:line="360" w:lineRule="auto"/>
        <w:ind w:firstLine="482"/>
        <w:rPr>
          <w:rFonts w:ascii="仿宋" w:hAnsi="仿宋" w:eastAsia="仿宋"/>
          <w:sz w:val="21"/>
        </w:rPr>
      </w:pPr>
      <w:r>
        <w:rPr>
          <w:rFonts w:hint="eastAsia" w:ascii="仿宋" w:hAnsi="仿宋" w:eastAsia="仿宋"/>
          <w:sz w:val="21"/>
        </w:rPr>
        <w:t>5.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rPr>
          <w:rFonts w:ascii="仿宋" w:hAnsi="仿宋" w:eastAsia="仿宋"/>
          <w:sz w:val="21"/>
        </w:rPr>
      </w:pPr>
      <w:r>
        <w:rPr>
          <w:rFonts w:hint="eastAsia" w:ascii="仿宋" w:hAnsi="仿宋" w:eastAsia="仿宋"/>
          <w:sz w:val="21"/>
        </w:rPr>
        <w:t>6.本项目产生的检测数据、分析结果及相关研究成果的知识产权归采购人所有。</w:t>
      </w:r>
    </w:p>
    <w:p>
      <w:pPr>
        <w:pStyle w:val="6"/>
        <w:spacing w:line="360" w:lineRule="auto"/>
        <w:ind w:firstLine="482"/>
        <w:rPr>
          <w:rFonts w:ascii="仿宋" w:hAnsi="仿宋" w:eastAsia="仿宋"/>
          <w:sz w:val="18"/>
        </w:rPr>
      </w:pPr>
      <w:r>
        <w:rPr>
          <w:rFonts w:hint="eastAsia" w:ascii="仿宋" w:hAnsi="仿宋" w:eastAsia="仿宋"/>
          <w:sz w:val="21"/>
        </w:rPr>
        <w:t>7.</w:t>
      </w:r>
      <w:bookmarkStart w:id="58" w:name="OLE_LINK87"/>
      <w:bookmarkStart w:id="59" w:name="OLE_LINK86"/>
      <w:r>
        <w:rPr>
          <w:rFonts w:hint="eastAsia" w:ascii="仿宋" w:hAnsi="仿宋" w:eastAsia="仿宋"/>
          <w:sz w:val="21"/>
        </w:rPr>
        <w:t>投标人应建立样品接收、登记、储存、处理、销毁的全流程管理制度，确保样品可追溯、可核查</w:t>
      </w:r>
      <w:bookmarkEnd w:id="58"/>
      <w:bookmarkEnd w:id="59"/>
      <w:r>
        <w:rPr>
          <w:rFonts w:hint="eastAsia" w:ascii="仿宋" w:hAnsi="仿宋" w:eastAsia="仿宋"/>
          <w:sz w:val="21"/>
        </w:rPr>
        <w:t>。</w:t>
      </w:r>
    </w:p>
    <w:p>
      <w:pPr>
        <w:pStyle w:val="6"/>
        <w:spacing w:line="360" w:lineRule="auto"/>
        <w:ind w:firstLine="482"/>
        <w:contextualSpacing/>
        <w:jc w:val="center"/>
        <w:rPr>
          <w:rFonts w:ascii="仿宋" w:hAnsi="仿宋" w:eastAsia="仿宋"/>
          <w:b/>
        </w:rPr>
      </w:pPr>
    </w:p>
    <w:p>
      <w:pPr>
        <w:pStyle w:val="6"/>
        <w:spacing w:line="360" w:lineRule="auto"/>
        <w:ind w:firstLine="482"/>
        <w:contextualSpacing/>
        <w:jc w:val="center"/>
        <w:rPr>
          <w:rFonts w:ascii="仿宋" w:hAnsi="仿宋" w:eastAsia="仿宋"/>
          <w:b/>
        </w:rPr>
      </w:pPr>
      <w:r>
        <w:rPr>
          <w:rFonts w:ascii="仿宋" w:hAnsi="仿宋" w:eastAsia="仿宋"/>
          <w:b/>
        </w:rPr>
        <w:t>第</w:t>
      </w:r>
      <w:r>
        <w:rPr>
          <w:rFonts w:hint="eastAsia" w:ascii="仿宋" w:hAnsi="仿宋" w:eastAsia="仿宋"/>
          <w:b/>
        </w:rPr>
        <w:t>10包 测试化验加工委托服务10</w:t>
      </w:r>
    </w:p>
    <w:p>
      <w:pPr>
        <w:pStyle w:val="6"/>
        <w:spacing w:line="360" w:lineRule="auto"/>
        <w:ind w:firstLine="482"/>
        <w:contextualSpacing/>
        <w:rPr>
          <w:rFonts w:ascii="仿宋" w:hAnsi="仿宋" w:eastAsia="仿宋"/>
          <w:b/>
          <w:sz w:val="21"/>
        </w:rPr>
      </w:pPr>
      <w:r>
        <w:rPr>
          <w:rFonts w:hint="eastAsia" w:ascii="仿宋" w:hAnsi="仿宋" w:eastAsia="仿宋"/>
          <w:b/>
          <w:sz w:val="21"/>
        </w:rPr>
        <w:t>（一）委托服务</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7"/>
        <w:gridCol w:w="1446"/>
        <w:gridCol w:w="1560"/>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b/>
                <w:bCs/>
                <w:kern w:val="0"/>
                <w:szCs w:val="21"/>
              </w:rPr>
            </w:pPr>
            <w:r>
              <w:rPr>
                <w:rFonts w:hint="eastAsia" w:ascii="仿宋" w:hAnsi="仿宋" w:eastAsia="仿宋" w:cs="宋体"/>
                <w:b/>
                <w:bCs/>
                <w:kern w:val="0"/>
                <w:szCs w:val="21"/>
              </w:rPr>
              <w:t>项目明细名称</w:t>
            </w:r>
          </w:p>
        </w:tc>
        <w:tc>
          <w:tcPr>
            <w:tcW w:w="848" w:type="pct"/>
            <w:shd w:val="clear" w:color="auto" w:fill="auto"/>
            <w:noWrap/>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单位</w:t>
            </w:r>
          </w:p>
        </w:tc>
        <w:tc>
          <w:tcPr>
            <w:tcW w:w="915" w:type="pct"/>
            <w:shd w:val="clear" w:color="auto" w:fill="auto"/>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数量</w:t>
            </w:r>
          </w:p>
        </w:tc>
        <w:tc>
          <w:tcPr>
            <w:tcW w:w="1360" w:type="pct"/>
            <w:shd w:val="clear" w:color="auto" w:fill="auto"/>
            <w:vAlign w:val="center"/>
          </w:tcPr>
          <w:p>
            <w:pPr>
              <w:widowControl/>
              <w:spacing w:line="276" w:lineRule="auto"/>
              <w:contextualSpacing/>
              <w:jc w:val="center"/>
              <w:rPr>
                <w:rFonts w:ascii="仿宋" w:hAnsi="仿宋" w:eastAsia="仿宋" w:cs="宋体"/>
                <w:b/>
                <w:kern w:val="0"/>
                <w:szCs w:val="21"/>
              </w:rPr>
            </w:pPr>
            <w:r>
              <w:rPr>
                <w:rFonts w:hint="eastAsia" w:ascii="仿宋" w:hAnsi="仿宋" w:eastAsia="仿宋" w:cs="宋体"/>
                <w:b/>
                <w:kern w:val="0"/>
                <w:szCs w:val="21"/>
              </w:rPr>
              <w:t>单价限价（人民币元）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76"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纳米药物形态表征</w:t>
            </w:r>
          </w:p>
        </w:tc>
        <w:tc>
          <w:tcPr>
            <w:tcW w:w="848" w:type="pct"/>
            <w:shd w:val="clear" w:color="auto" w:fill="auto"/>
            <w:noWrap/>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样本</w:t>
            </w:r>
          </w:p>
        </w:tc>
        <w:tc>
          <w:tcPr>
            <w:tcW w:w="915"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40</w:t>
            </w:r>
          </w:p>
        </w:tc>
        <w:tc>
          <w:tcPr>
            <w:tcW w:w="1360" w:type="pct"/>
            <w:shd w:val="clear" w:color="auto" w:fill="auto"/>
            <w:vAlign w:val="center"/>
          </w:tcPr>
          <w:p>
            <w:pPr>
              <w:widowControl/>
              <w:spacing w:line="276" w:lineRule="auto"/>
              <w:contextualSpacing/>
              <w:jc w:val="center"/>
              <w:rPr>
                <w:rFonts w:ascii="仿宋" w:hAnsi="仿宋" w:eastAsia="仿宋" w:cs="宋体"/>
                <w:kern w:val="0"/>
                <w:szCs w:val="21"/>
              </w:rPr>
            </w:pPr>
            <w:r>
              <w:rPr>
                <w:rFonts w:hint="eastAsia" w:ascii="仿宋" w:hAnsi="仿宋" w:eastAsia="仿宋" w:cs="宋体"/>
                <w:kern w:val="0"/>
                <w:szCs w:val="21"/>
              </w:rPr>
              <w:t>300.00</w:t>
            </w:r>
          </w:p>
        </w:tc>
      </w:tr>
    </w:tbl>
    <w:p>
      <w:pPr>
        <w:spacing w:line="360" w:lineRule="auto"/>
        <w:contextualSpacing/>
        <w:rPr>
          <w:rFonts w:ascii="仿宋" w:hAnsi="仿宋" w:eastAsia="仿宋" w:cs="仿宋"/>
          <w:b/>
          <w:bCs/>
          <w:szCs w:val="21"/>
        </w:rPr>
      </w:pPr>
      <w:r>
        <w:rPr>
          <w:rFonts w:hint="eastAsia" w:ascii="仿宋" w:hAnsi="仿宋" w:eastAsia="仿宋" w:cs="仿宋"/>
          <w:b/>
          <w:bCs/>
          <w:szCs w:val="21"/>
        </w:rPr>
        <w:t>注：1）投标人所报委托服务明细单价不能超过上述单价限价，否则按废标处理。</w:t>
      </w:r>
    </w:p>
    <w:p>
      <w:pPr>
        <w:spacing w:line="360" w:lineRule="auto"/>
        <w:ind w:firstLine="422" w:firstLineChars="200"/>
        <w:contextualSpacing/>
        <w:rPr>
          <w:rFonts w:ascii="仿宋" w:hAnsi="仿宋" w:eastAsia="仿宋"/>
          <w:b/>
        </w:rPr>
      </w:pPr>
      <w:r>
        <w:rPr>
          <w:rFonts w:hint="eastAsia" w:ascii="仿宋" w:hAnsi="仿宋" w:eastAsia="仿宋" w:cs="仿宋"/>
          <w:b/>
          <w:bCs/>
          <w:szCs w:val="21"/>
        </w:rPr>
        <w:t>2）投标人所报数量不能低于上述委托服务中列明的数量，否则按废标处理。</w:t>
      </w:r>
    </w:p>
    <w:p>
      <w:pPr>
        <w:pStyle w:val="6"/>
        <w:spacing w:line="360" w:lineRule="auto"/>
        <w:ind w:firstLine="482"/>
        <w:contextualSpacing/>
        <w:rPr>
          <w:rFonts w:ascii="仿宋" w:hAnsi="仿宋" w:eastAsia="仿宋"/>
          <w:b/>
          <w:sz w:val="21"/>
        </w:rPr>
      </w:pPr>
      <w:r>
        <w:rPr>
          <w:rFonts w:hint="eastAsia" w:ascii="仿宋" w:hAnsi="仿宋" w:eastAsia="仿宋"/>
          <w:b/>
          <w:sz w:val="21"/>
        </w:rPr>
        <w:t>（二）商务要求</w:t>
      </w:r>
    </w:p>
    <w:p>
      <w:pPr>
        <w:pStyle w:val="6"/>
        <w:spacing w:line="360" w:lineRule="auto"/>
        <w:ind w:firstLine="482"/>
        <w:rPr>
          <w:rFonts w:ascii="仿宋" w:hAnsi="仿宋" w:eastAsia="仿宋"/>
          <w:bCs/>
          <w:sz w:val="21"/>
        </w:rPr>
      </w:pPr>
      <w:r>
        <w:rPr>
          <w:rFonts w:hint="eastAsia" w:ascii="仿宋" w:hAnsi="仿宋" w:eastAsia="仿宋"/>
          <w:bCs/>
          <w:sz w:val="21"/>
        </w:rPr>
        <w:t>1、结果交付及实施保障条件：</w:t>
      </w:r>
    </w:p>
    <w:p>
      <w:pPr>
        <w:pStyle w:val="6"/>
        <w:spacing w:line="360" w:lineRule="auto"/>
        <w:ind w:firstLine="482"/>
        <w:rPr>
          <w:rFonts w:ascii="仿宋" w:hAnsi="仿宋" w:eastAsia="仿宋"/>
          <w:bCs/>
          <w:sz w:val="21"/>
        </w:rPr>
      </w:pPr>
      <w:r>
        <w:rPr>
          <w:rFonts w:hint="eastAsia" w:ascii="仿宋" w:hAnsi="仿宋" w:eastAsia="仿宋"/>
          <w:bCs/>
          <w:sz w:val="21"/>
        </w:rPr>
        <w:t>1.1、交付时间：自提交合格样品起计算，在30个工作日内交付TEM测试结果。</w:t>
      </w:r>
    </w:p>
    <w:p>
      <w:pPr>
        <w:pStyle w:val="6"/>
        <w:spacing w:line="360" w:lineRule="auto"/>
        <w:ind w:firstLine="482"/>
        <w:rPr>
          <w:rFonts w:ascii="仿宋" w:hAnsi="仿宋" w:eastAsia="仿宋"/>
          <w:bCs/>
          <w:sz w:val="21"/>
        </w:rPr>
      </w:pPr>
      <w:r>
        <w:rPr>
          <w:rFonts w:hint="eastAsia" w:ascii="仿宋" w:hAnsi="仿宋" w:eastAsia="仿宋"/>
          <w:bCs/>
          <w:sz w:val="21"/>
        </w:rPr>
        <w:t>1.2、交付形式：提供样本的电子版检测数据结果。</w:t>
      </w:r>
    </w:p>
    <w:p>
      <w:pPr>
        <w:pStyle w:val="6"/>
        <w:spacing w:line="360" w:lineRule="auto"/>
        <w:ind w:firstLine="482"/>
        <w:rPr>
          <w:rFonts w:ascii="仿宋" w:hAnsi="仿宋" w:eastAsia="仿宋"/>
          <w:bCs/>
          <w:sz w:val="21"/>
        </w:rPr>
      </w:pPr>
      <w:r>
        <w:rPr>
          <w:rFonts w:hint="eastAsia" w:ascii="仿宋" w:hAnsi="仿宋" w:eastAsia="仿宋"/>
          <w:bCs/>
          <w:sz w:val="21"/>
        </w:rPr>
        <w:t>1.3、严格执行合同相关规定，对样本数据的保密。</w:t>
      </w:r>
    </w:p>
    <w:p>
      <w:pPr>
        <w:pStyle w:val="6"/>
        <w:spacing w:line="360" w:lineRule="auto"/>
        <w:ind w:firstLine="482"/>
        <w:rPr>
          <w:rFonts w:ascii="仿宋" w:hAnsi="仿宋" w:eastAsia="仿宋"/>
          <w:bCs/>
          <w:sz w:val="21"/>
        </w:rPr>
      </w:pPr>
      <w:r>
        <w:rPr>
          <w:rFonts w:hint="eastAsia" w:ascii="仿宋" w:hAnsi="仿宋" w:eastAsia="仿宋"/>
          <w:bCs/>
          <w:sz w:val="21"/>
        </w:rPr>
        <w:t>2、实施保障条件：</w:t>
      </w:r>
    </w:p>
    <w:p>
      <w:pPr>
        <w:pStyle w:val="6"/>
        <w:spacing w:line="360" w:lineRule="auto"/>
        <w:ind w:firstLine="482"/>
        <w:rPr>
          <w:rFonts w:ascii="仿宋" w:hAnsi="仿宋" w:eastAsia="仿宋"/>
          <w:bCs/>
          <w:sz w:val="21"/>
        </w:rPr>
      </w:pPr>
      <w:r>
        <w:rPr>
          <w:rFonts w:hint="eastAsia" w:ascii="仿宋" w:hAnsi="仿宋" w:eastAsia="仿宋"/>
          <w:bCs/>
          <w:sz w:val="21"/>
        </w:rPr>
        <w:t>2.1、具备在30个工作日内完成提供样本的测试能力。</w:t>
      </w:r>
    </w:p>
    <w:p>
      <w:pPr>
        <w:pStyle w:val="6"/>
        <w:spacing w:line="360" w:lineRule="auto"/>
        <w:ind w:firstLine="482"/>
        <w:rPr>
          <w:rFonts w:ascii="仿宋" w:hAnsi="仿宋" w:eastAsia="仿宋"/>
          <w:bCs/>
          <w:sz w:val="21"/>
        </w:rPr>
      </w:pPr>
      <w:r>
        <w:rPr>
          <w:rFonts w:hint="eastAsia" w:ascii="仿宋" w:hAnsi="仿宋" w:eastAsia="仿宋"/>
          <w:bCs/>
          <w:sz w:val="21"/>
        </w:rPr>
        <w:t>2.2、团队项目参与人员具备专业的测试服务能力。</w:t>
      </w:r>
    </w:p>
    <w:p>
      <w:pPr>
        <w:pStyle w:val="6"/>
        <w:spacing w:line="360" w:lineRule="auto"/>
        <w:ind w:firstLine="482"/>
        <w:rPr>
          <w:rFonts w:ascii="仿宋" w:hAnsi="仿宋" w:eastAsia="仿宋"/>
          <w:bCs/>
          <w:sz w:val="21"/>
        </w:rPr>
      </w:pPr>
      <w:r>
        <w:rPr>
          <w:rFonts w:hint="eastAsia" w:ascii="仿宋" w:hAnsi="仿宋" w:eastAsia="仿宋"/>
          <w:bCs/>
          <w:sz w:val="21"/>
        </w:rPr>
        <w:t>3、售后服务：</w:t>
      </w:r>
    </w:p>
    <w:p>
      <w:pPr>
        <w:pStyle w:val="6"/>
        <w:spacing w:line="360" w:lineRule="auto"/>
        <w:ind w:firstLine="482"/>
        <w:rPr>
          <w:rFonts w:ascii="仿宋" w:hAnsi="仿宋" w:eastAsia="仿宋"/>
          <w:bCs/>
          <w:sz w:val="21"/>
        </w:rPr>
      </w:pPr>
      <w:r>
        <w:rPr>
          <w:rFonts w:hint="eastAsia" w:ascii="仿宋" w:hAnsi="仿宋" w:eastAsia="仿宋"/>
          <w:bCs/>
          <w:sz w:val="21"/>
        </w:rPr>
        <w:t>3.1、数据验收合格后提供1年的售后服务，在服务期内，免费进行疑难问题解答，对数据分析结果和相关软件产品进行使用指导，并安排技术人员通过往来信函、电话、传真、电子邮件方式解答用户在数据使用过程中碰到的各种技术问题。</w:t>
      </w:r>
    </w:p>
    <w:p>
      <w:pPr>
        <w:pStyle w:val="6"/>
        <w:spacing w:line="360" w:lineRule="auto"/>
        <w:ind w:firstLine="482"/>
        <w:rPr>
          <w:rFonts w:ascii="仿宋" w:hAnsi="仿宋" w:eastAsia="仿宋"/>
          <w:bCs/>
          <w:sz w:val="21"/>
        </w:rPr>
      </w:pPr>
      <w:r>
        <w:rPr>
          <w:rFonts w:hint="eastAsia" w:ascii="仿宋" w:hAnsi="仿宋" w:eastAsia="仿宋"/>
          <w:bCs/>
          <w:sz w:val="21"/>
        </w:rPr>
        <w:t>3.2、咨询响应时间：2小时内回复，24小时内指派合格的技术人员进行回复。</w:t>
      </w:r>
    </w:p>
    <w:p>
      <w:pPr>
        <w:pStyle w:val="6"/>
        <w:spacing w:line="360" w:lineRule="auto"/>
        <w:ind w:firstLine="482"/>
        <w:rPr>
          <w:rFonts w:ascii="仿宋" w:hAnsi="仿宋" w:eastAsia="仿宋"/>
          <w:sz w:val="21"/>
        </w:rPr>
      </w:pPr>
      <w:r>
        <w:rPr>
          <w:rFonts w:hint="eastAsia" w:ascii="仿宋" w:hAnsi="仿宋" w:eastAsia="仿宋"/>
          <w:sz w:val="21"/>
        </w:rPr>
        <w:t>4.投标人应建立完善的数据安全和保密管理制度，对采购人提供的样本信息、检测数据、研究成果等承担保密义务。未经采购人书面同意，不得将任何数据资料用于本项目以外的用途。项目完成后，应按采购人要求返还或销毁相关数据。</w:t>
      </w:r>
    </w:p>
    <w:p>
      <w:pPr>
        <w:pStyle w:val="6"/>
        <w:spacing w:line="360" w:lineRule="auto"/>
        <w:ind w:firstLine="482"/>
        <w:rPr>
          <w:rFonts w:ascii="仿宋" w:hAnsi="仿宋" w:eastAsia="仿宋"/>
          <w:sz w:val="21"/>
        </w:rPr>
      </w:pPr>
      <w:r>
        <w:rPr>
          <w:rFonts w:hint="eastAsia" w:ascii="仿宋" w:hAnsi="仿宋" w:eastAsia="仿宋"/>
          <w:sz w:val="21"/>
        </w:rPr>
        <w:t>5.本项目产生的检测数据、分析结果及相关研究成果的知识产权归采购人所有。</w:t>
      </w:r>
    </w:p>
    <w:p>
      <w:pPr>
        <w:pStyle w:val="6"/>
        <w:spacing w:line="360" w:lineRule="auto"/>
        <w:ind w:firstLine="482"/>
        <w:rPr>
          <w:rFonts w:ascii="仿宋" w:hAnsi="仿宋" w:eastAsia="仿宋"/>
          <w:sz w:val="21"/>
        </w:rPr>
      </w:pPr>
      <w:r>
        <w:rPr>
          <w:rFonts w:hint="eastAsia" w:ascii="仿宋" w:hAnsi="仿宋" w:eastAsia="仿宋"/>
          <w:sz w:val="21"/>
        </w:rPr>
        <w:t>6.投标人应建立样品接收、登记、储存、处理、销毁的全流程管理制度，确保样品可追溯、可核查。需安排专人上门接收样品，并提供取样人员名单及联系方式。</w:t>
      </w:r>
    </w:p>
    <w:p>
      <w:pPr>
        <w:pStyle w:val="6"/>
        <w:spacing w:line="360" w:lineRule="auto"/>
        <w:ind w:firstLine="482"/>
        <w:rPr>
          <w:rFonts w:ascii="仿宋" w:hAnsi="仿宋" w:eastAsia="仿宋"/>
          <w:b/>
          <w:bCs/>
          <w:sz w:val="21"/>
        </w:rPr>
      </w:pPr>
      <w:r>
        <w:rPr>
          <w:rFonts w:hint="eastAsia" w:ascii="仿宋" w:hAnsi="仿宋" w:eastAsia="仿宋"/>
          <w:b/>
          <w:bCs/>
          <w:sz w:val="21"/>
        </w:rPr>
        <w:t>（三）技术要求</w:t>
      </w:r>
    </w:p>
    <w:p>
      <w:pPr>
        <w:pStyle w:val="6"/>
        <w:spacing w:line="360" w:lineRule="auto"/>
        <w:ind w:firstLine="482"/>
        <w:rPr>
          <w:rFonts w:ascii="仿宋" w:hAnsi="仿宋" w:eastAsia="仿宋"/>
          <w:bCs/>
          <w:sz w:val="21"/>
        </w:rPr>
      </w:pPr>
      <w:r>
        <w:rPr>
          <w:rFonts w:hint="eastAsia" w:ascii="仿宋" w:hAnsi="仿宋" w:eastAsia="仿宋"/>
          <w:bCs/>
          <w:sz w:val="21"/>
        </w:rPr>
        <w:t>1、实验平台有自营实验室。TEM实验平台主要提供透射电子显微镜相关的材料微观结构与成分分析服务，常用于研究材料的微观结构、晶体结构、缺陷、形貌尺寸、界面性质以及元素分布等。</w:t>
      </w:r>
    </w:p>
    <w:p>
      <w:pPr>
        <w:pStyle w:val="6"/>
        <w:spacing w:line="360" w:lineRule="auto"/>
        <w:ind w:firstLine="482"/>
        <w:rPr>
          <w:rFonts w:ascii="仿宋" w:hAnsi="仿宋" w:eastAsia="仿宋"/>
          <w:bCs/>
          <w:sz w:val="21"/>
        </w:rPr>
      </w:pPr>
      <w:r>
        <w:rPr>
          <w:rFonts w:hint="eastAsia" w:ascii="仿宋" w:hAnsi="仿宋" w:eastAsia="仿宋"/>
          <w:bCs/>
          <w:sz w:val="21"/>
        </w:rPr>
        <w:t>2、对TEM样本质量进行严格把控，测试步骤：</w:t>
      </w:r>
    </w:p>
    <w:p>
      <w:pPr>
        <w:pStyle w:val="6"/>
        <w:spacing w:line="360" w:lineRule="auto"/>
        <w:ind w:firstLine="482"/>
        <w:rPr>
          <w:rFonts w:ascii="仿宋" w:hAnsi="仿宋" w:eastAsia="仿宋"/>
          <w:bCs/>
          <w:sz w:val="21"/>
        </w:rPr>
      </w:pPr>
      <w:r>
        <w:rPr>
          <w:rFonts w:hint="eastAsia" w:ascii="仿宋" w:hAnsi="仿宋" w:eastAsia="仿宋"/>
          <w:bCs/>
          <w:sz w:val="21"/>
        </w:rPr>
        <w:t>2.1、样品准备：粉末在分散剂中超声分散好后滴在铜网上。液体稀释到合适的浓度,超声分散后滴到铜网上。生物样品，通常需要经过包埋切片或者负染后再进行测试。块体样品：根据不同的测试要求,选择不同的减薄方式后再进行测试。</w:t>
      </w:r>
    </w:p>
    <w:p>
      <w:pPr>
        <w:pStyle w:val="6"/>
        <w:spacing w:line="360" w:lineRule="auto"/>
        <w:ind w:firstLine="482"/>
        <w:rPr>
          <w:rFonts w:ascii="仿宋" w:hAnsi="仿宋" w:eastAsia="仿宋"/>
          <w:bCs/>
          <w:sz w:val="21"/>
        </w:rPr>
      </w:pPr>
      <w:r>
        <w:rPr>
          <w:rFonts w:hint="eastAsia" w:ascii="仿宋" w:hAnsi="仿宋" w:eastAsia="仿宋"/>
          <w:bCs/>
          <w:sz w:val="21"/>
        </w:rPr>
        <w:t>2.2、上样：根据不同的测试要求,选择不同的载网和样品杆。将载网放到样品杆上,之后将样品杆插到侧角台上,并开始预抽真空。</w:t>
      </w:r>
    </w:p>
    <w:p>
      <w:pPr>
        <w:pStyle w:val="6"/>
        <w:spacing w:line="360" w:lineRule="auto"/>
        <w:ind w:firstLine="482"/>
        <w:rPr>
          <w:rFonts w:ascii="仿宋" w:hAnsi="仿宋" w:eastAsia="仿宋"/>
          <w:bCs/>
          <w:sz w:val="21"/>
        </w:rPr>
      </w:pPr>
      <w:r>
        <w:rPr>
          <w:rFonts w:hint="eastAsia" w:ascii="仿宋" w:hAnsi="仿宋" w:eastAsia="仿宋"/>
          <w:bCs/>
          <w:sz w:val="21"/>
        </w:rPr>
        <w:t>2.3、状态校准：检查电镜状态,并将聚光镜光阑进行居中。合轴,根据电镜状态,确定是否进行Gun和beam的tilt校准,之后完成3-9合轴。</w:t>
      </w:r>
    </w:p>
    <w:p>
      <w:pPr>
        <w:pStyle w:val="6"/>
        <w:spacing w:line="360" w:lineRule="auto"/>
        <w:ind w:firstLine="482"/>
        <w:rPr>
          <w:rFonts w:ascii="仿宋" w:hAnsi="仿宋" w:eastAsia="仿宋"/>
          <w:bCs/>
          <w:sz w:val="21"/>
        </w:rPr>
      </w:pPr>
      <w:r>
        <w:rPr>
          <w:rFonts w:hint="eastAsia" w:ascii="仿宋" w:hAnsi="仿宋" w:eastAsia="仿宋"/>
          <w:bCs/>
          <w:sz w:val="21"/>
        </w:rPr>
        <w:t>2.4、物镜光阑的居中以及消像散。</w:t>
      </w:r>
    </w:p>
    <w:p>
      <w:pPr>
        <w:pStyle w:val="6"/>
        <w:spacing w:line="360" w:lineRule="auto"/>
        <w:ind w:firstLine="482"/>
        <w:rPr>
          <w:rFonts w:ascii="仿宋" w:hAnsi="仿宋" w:eastAsia="仿宋"/>
          <w:bCs/>
          <w:sz w:val="21"/>
        </w:rPr>
      </w:pPr>
      <w:r>
        <w:rPr>
          <w:rFonts w:hint="eastAsia" w:ascii="仿宋" w:hAnsi="仿宋" w:eastAsia="仿宋"/>
          <w:bCs/>
          <w:sz w:val="21"/>
        </w:rPr>
        <w:t>2.5、电压中心的调整。</w:t>
      </w:r>
    </w:p>
    <w:p>
      <w:pPr>
        <w:pStyle w:val="6"/>
        <w:spacing w:line="360" w:lineRule="auto"/>
        <w:ind w:firstLine="482"/>
        <w:rPr>
          <w:rFonts w:ascii="仿宋" w:hAnsi="仿宋" w:eastAsia="仿宋"/>
          <w:bCs/>
          <w:sz w:val="21"/>
        </w:rPr>
      </w:pPr>
      <w:r>
        <w:rPr>
          <w:rFonts w:hint="eastAsia" w:ascii="仿宋" w:hAnsi="仿宋" w:eastAsia="仿宋"/>
          <w:bCs/>
          <w:sz w:val="21"/>
        </w:rPr>
        <w:t>3、项目管理实施要求：项目管理人员1人，具有中级及以上职称。</w:t>
      </w:r>
    </w:p>
    <w:p>
      <w:pPr>
        <w:pStyle w:val="6"/>
        <w:spacing w:line="360" w:lineRule="auto"/>
        <w:ind w:firstLine="482"/>
        <w:rPr>
          <w:rFonts w:ascii="仿宋" w:hAnsi="仿宋" w:eastAsia="仿宋"/>
          <w:bCs/>
          <w:sz w:val="21"/>
        </w:rPr>
      </w:pPr>
      <w:r>
        <w:rPr>
          <w:rFonts w:hint="eastAsia" w:ascii="仿宋" w:hAnsi="仿宋" w:eastAsia="仿宋"/>
          <w:bCs/>
          <w:sz w:val="21"/>
        </w:rPr>
        <w:t>4、分析要求及验收标准：结果交付报告包含PDF报告等。</w:t>
      </w:r>
    </w:p>
    <w:p>
      <w:pPr>
        <w:pStyle w:val="6"/>
        <w:spacing w:line="360" w:lineRule="auto"/>
        <w:ind w:firstLine="482"/>
        <w:rPr>
          <w:rFonts w:ascii="仿宋" w:hAnsi="仿宋" w:eastAsia="仿宋"/>
          <w:bCs/>
        </w:rPr>
      </w:pPr>
    </w:p>
    <w:p>
      <w:pPr>
        <w:widowControl/>
        <w:snapToGrid w:val="0"/>
        <w:spacing w:line="360" w:lineRule="auto"/>
        <w:ind w:firstLine="482" w:firstLineChars="200"/>
        <w:contextualSpacing/>
        <w:rPr>
          <w:rFonts w:ascii="仿宋" w:hAnsi="仿宋" w:eastAsia="仿宋" w:cs="仿宋"/>
          <w:b/>
          <w:sz w:val="24"/>
        </w:rPr>
      </w:pPr>
      <w:r>
        <w:rPr>
          <w:rFonts w:hint="eastAsia" w:ascii="仿宋" w:hAnsi="仿宋" w:eastAsia="仿宋" w:cs="仿宋"/>
          <w:b/>
          <w:sz w:val="24"/>
        </w:rPr>
        <w:t>2.5 需由投标人提供设计方案、解决方案或者组织方案的采购项目，应当说明采购标的的功能、应用场景、目标等基本要求</w:t>
      </w:r>
    </w:p>
    <w:p>
      <w:pPr>
        <w:pStyle w:val="6"/>
        <w:ind w:firstLineChars="175"/>
        <w:rPr>
          <w:rFonts w:ascii="仿宋" w:hAnsi="仿宋" w:eastAsia="仿宋"/>
          <w:bCs/>
        </w:rPr>
      </w:pPr>
      <w:r>
        <w:rPr>
          <w:rFonts w:ascii="仿宋" w:hAnsi="仿宋" w:eastAsia="仿宋"/>
          <w:bCs/>
        </w:rPr>
        <w:t>无。</w:t>
      </w:r>
    </w:p>
    <w:p>
      <w:pPr>
        <w:pStyle w:val="6"/>
        <w:ind w:firstLineChars="175"/>
        <w:rPr>
          <w:rFonts w:ascii="仿宋" w:hAnsi="仿宋" w:eastAsia="仿宋"/>
          <w:bCs/>
        </w:rPr>
      </w:pPr>
    </w:p>
    <w:p>
      <w:pPr>
        <w:spacing w:line="360" w:lineRule="auto"/>
        <w:ind w:firstLine="480"/>
        <w:rPr>
          <w:rFonts w:ascii="仿宋" w:hAnsi="仿宋" w:eastAsia="仿宋" w:cs="Arial"/>
          <w:b/>
          <w:sz w:val="24"/>
        </w:rPr>
      </w:pPr>
      <w:r>
        <w:rPr>
          <w:rFonts w:hint="eastAsia" w:ascii="仿宋" w:hAnsi="仿宋" w:eastAsia="仿宋" w:cs="Arial"/>
          <w:b/>
          <w:sz w:val="24"/>
        </w:rPr>
        <w:t>3.验收标准</w:t>
      </w:r>
    </w:p>
    <w:p>
      <w:pPr>
        <w:pStyle w:val="6"/>
        <w:spacing w:line="360" w:lineRule="auto"/>
        <w:ind w:firstLine="482"/>
        <w:rPr>
          <w:rFonts w:ascii="仿宋" w:hAnsi="仿宋" w:eastAsia="仿宋"/>
          <w:bCs/>
        </w:rPr>
      </w:pPr>
      <w:r>
        <w:rPr>
          <w:rFonts w:hint="eastAsia" w:ascii="仿宋" w:hAnsi="仿宋" w:eastAsia="仿宋"/>
          <w:bCs/>
        </w:rPr>
        <w:t>采购人按照国家有关规定以及招标文件的要求、投标人的投标文件及承诺与本项目合同约定标准进行验收。</w:t>
      </w:r>
    </w:p>
    <w:p>
      <w:pPr>
        <w:pStyle w:val="6"/>
        <w:spacing w:line="360" w:lineRule="auto"/>
        <w:ind w:firstLine="482"/>
        <w:rPr>
          <w:rFonts w:ascii="仿宋" w:hAnsi="仿宋" w:eastAsia="仿宋"/>
          <w:bCs/>
        </w:rPr>
      </w:pPr>
    </w:p>
    <w:p>
      <w:pPr>
        <w:pStyle w:val="6"/>
        <w:spacing w:line="360" w:lineRule="auto"/>
        <w:ind w:firstLine="482"/>
        <w:rPr>
          <w:rFonts w:ascii="仿宋" w:hAnsi="仿宋" w:eastAsia="仿宋"/>
          <w:bCs/>
        </w:rPr>
        <w:sectPr>
          <w:pgSz w:w="11906" w:h="16838"/>
          <w:pgMar w:top="1440" w:right="1800" w:bottom="1440" w:left="1800" w:header="851" w:footer="992" w:gutter="0"/>
          <w:cols w:space="425" w:num="1"/>
          <w:docGrid w:type="lines" w:linePitch="312" w:charSpace="0"/>
        </w:sectPr>
      </w:pPr>
    </w:p>
    <w:p>
      <w:pPr>
        <w:pStyle w:val="2"/>
        <w:rPr>
          <w:rFonts w:hint="default"/>
          <w:b/>
          <w:bCs/>
          <w:sz w:val="32"/>
          <w:szCs w:val="40"/>
          <w:lang w:val="en-US" w:eastAsia="zh-CN"/>
        </w:rPr>
      </w:pPr>
      <w:bookmarkStart w:id="60" w:name="_GoBack"/>
      <w:bookmarkEnd w:id="6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fldChar w:fldCharType="begin"/>
    </w:r>
    <w:r>
      <w:rPr>
        <w:rStyle w:val="17"/>
      </w:rPr>
      <w:instrText xml:space="preserve">PAGE  </w:instrText>
    </w:r>
    <w:r>
      <w:fldChar w:fldCharType="separate"/>
    </w:r>
    <w:r>
      <w:rPr>
        <w:rStyle w:val="17"/>
      </w:rPr>
      <w:t>53</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4638A7"/>
    <w:rsid w:val="042711E9"/>
    <w:rsid w:val="04B9724B"/>
    <w:rsid w:val="0872092E"/>
    <w:rsid w:val="14A26D8F"/>
    <w:rsid w:val="203D56BA"/>
    <w:rsid w:val="22802B98"/>
    <w:rsid w:val="37214F00"/>
    <w:rsid w:val="394D2B6F"/>
    <w:rsid w:val="4B7E2B6C"/>
    <w:rsid w:val="5D9D153B"/>
    <w:rsid w:val="656F61B5"/>
    <w:rsid w:val="66A16A95"/>
    <w:rsid w:val="6DA01CBF"/>
    <w:rsid w:val="70F013FA"/>
    <w:rsid w:val="71F4514F"/>
    <w:rsid w:val="774638A7"/>
    <w:rsid w:val="7E3A47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unhideWhenUsed/>
    <w:qFormat/>
    <w:uiPriority w:val="9"/>
    <w:pPr>
      <w:outlineLvl w:val="1"/>
    </w:pPr>
    <w:rPr>
      <w:rFonts w:ascii="Times New Roman" w:hAnsi="Times New Roman"/>
      <w:b/>
      <w:szCs w:val="5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spacing w:after="120"/>
      <w:ind w:firstLine="0"/>
      <w:contextualSpacing/>
    </w:pPr>
    <w:rPr>
      <w:rFonts w:ascii="仿宋" w:hAnsi="仿宋" w:eastAsia="仿宋" w:cs="宋体"/>
      <w:kern w:val="0"/>
      <w:sz w:val="21"/>
      <w:szCs w:val="21"/>
    </w:rPr>
  </w:style>
  <w:style w:type="paragraph" w:styleId="3">
    <w:name w:val="Body Text Indent"/>
    <w:basedOn w:val="1"/>
    <w:qFormat/>
    <w:uiPriority w:val="0"/>
    <w:pPr>
      <w:spacing w:line="360" w:lineRule="auto"/>
      <w:ind w:firstLine="570"/>
    </w:pPr>
    <w:rPr>
      <w:sz w:val="24"/>
    </w:rPr>
  </w:style>
  <w:style w:type="paragraph" w:styleId="6">
    <w:name w:val="Normal Indent"/>
    <w:basedOn w:val="1"/>
    <w:qFormat/>
    <w:uiPriority w:val="0"/>
    <w:pPr>
      <w:autoSpaceDE w:val="0"/>
      <w:autoSpaceDN w:val="0"/>
      <w:adjustRightInd w:val="0"/>
      <w:ind w:firstLine="420"/>
      <w:jc w:val="left"/>
    </w:pPr>
    <w:rPr>
      <w:rFonts w:ascii="宋体"/>
      <w:sz w:val="24"/>
    </w:rPr>
  </w:style>
  <w:style w:type="paragraph" w:styleId="7">
    <w:name w:val="annotation text"/>
    <w:basedOn w:val="1"/>
    <w:qFormat/>
    <w:uiPriority w:val="99"/>
    <w:pPr>
      <w:jc w:val="left"/>
    </w:pPr>
  </w:style>
  <w:style w:type="paragraph" w:styleId="8">
    <w:name w:val="Body Text"/>
    <w:basedOn w:val="1"/>
    <w:qFormat/>
    <w:uiPriority w:val="99"/>
    <w:pPr>
      <w:tabs>
        <w:tab w:val="left" w:pos="567"/>
      </w:tabs>
      <w:spacing w:before="120" w:line="22" w:lineRule="atLeast"/>
    </w:pPr>
    <w:rPr>
      <w:rFonts w:ascii="宋体" w:hAnsi="宋体"/>
      <w:sz w:val="24"/>
    </w:rPr>
  </w:style>
  <w:style w:type="paragraph" w:styleId="9">
    <w:name w:val="Plain Text"/>
    <w:basedOn w:val="1"/>
    <w:qFormat/>
    <w:uiPriority w:val="0"/>
    <w:rPr>
      <w:rFonts w:hint="eastAsia" w:ascii="宋体" w:hAnsi="Courier New"/>
      <w:szCs w:val="20"/>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tabs>
        <w:tab w:val="right" w:leader="dot" w:pos="8937"/>
      </w:tabs>
      <w:spacing w:line="312" w:lineRule="auto"/>
      <w:ind w:left="42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annotation reference"/>
    <w:basedOn w:val="16"/>
    <w:qFormat/>
    <w:uiPriority w:val="99"/>
    <w:rPr>
      <w:sz w:val="21"/>
      <w:szCs w:val="21"/>
    </w:rPr>
  </w:style>
  <w:style w:type="paragraph" w:customStyle="1" w:styleId="19">
    <w:name w:val="SOW正文"/>
    <w:basedOn w:val="1"/>
    <w:qFormat/>
    <w:uiPriority w:val="0"/>
    <w:pPr>
      <w:snapToGrid w:val="0"/>
      <w:spacing w:before="120" w:line="400" w:lineRule="exact"/>
      <w:ind w:firstLine="425"/>
    </w:pPr>
    <w:rPr>
      <w:rFonts w:ascii="Times New Roman" w:hAnsi="Times New Roman"/>
      <w:sz w:val="24"/>
      <w:szCs w:val="20"/>
    </w:rPr>
  </w:style>
  <w:style w:type="paragraph" w:styleId="20">
    <w:name w:val="List Paragraph"/>
    <w:basedOn w:val="1"/>
    <w:qFormat/>
    <w:uiPriority w:val="34"/>
    <w:pPr>
      <w:ind w:firstLine="420" w:firstLineChars="200"/>
    </w:pPr>
    <w:rPr>
      <w:rFonts w:cs="Times New Roman"/>
      <w:szCs w:val="22"/>
    </w:rPr>
  </w:style>
  <w:style w:type="table" w:customStyle="1" w:styleId="21">
    <w:name w:val="网格型1"/>
    <w:basedOn w:val="14"/>
    <w:qFormat/>
    <w:uiPriority w:val="59"/>
    <w:pPr>
      <w:widowControl/>
      <w:autoSpaceDE/>
      <w:autoSpaceDN/>
    </w:pPr>
    <w:rPr>
      <w:kern w:val="2"/>
      <w:sz w:val="21"/>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_Style 2"/>
    <w:basedOn w:val="1"/>
    <w:qFormat/>
    <w:uiPriority w:val="99"/>
    <w:pPr>
      <w:autoSpaceDE/>
      <w:autoSpaceDN/>
      <w:spacing w:line="240" w:lineRule="auto"/>
      <w:ind w:firstLine="420" w:firstLineChars="200"/>
      <w:jc w:val="both"/>
    </w:pPr>
    <w:rPr>
      <w:rFonts w:ascii="Calibri" w:hAnsi="Calibri" w:cs="Calibri"/>
      <w:kern w:val="2"/>
      <w:sz w:val="21"/>
      <w:szCs w:val="21"/>
    </w:rPr>
  </w:style>
  <w:style w:type="paragraph" w:customStyle="1" w:styleId="23">
    <w:name w:val="列出段落1"/>
    <w:basedOn w:val="1"/>
    <w:qFormat/>
    <w:uiPriority w:val="99"/>
    <w:pPr>
      <w:autoSpaceDE/>
      <w:autoSpaceDN/>
      <w:spacing w:line="240" w:lineRule="auto"/>
      <w:ind w:firstLine="420" w:firstLineChars="200"/>
      <w:jc w:val="both"/>
    </w:pPr>
    <w:rPr>
      <w:rFonts w:ascii="Calibri" w:hAnsi="Calibri" w:cs="Calibri"/>
      <w:kern w:val="2"/>
      <w:sz w:val="21"/>
      <w:szCs w:val="21"/>
    </w:rPr>
  </w:style>
  <w:style w:type="paragraph" w:customStyle="1" w:styleId="24">
    <w:name w:val="标准正文"/>
    <w:basedOn w:val="3"/>
    <w:qFormat/>
    <w:uiPriority w:val="0"/>
    <w:pPr>
      <w:spacing w:before="60" w:after="60"/>
      <w:ind w:firstLine="482"/>
    </w:pPr>
    <w:rPr>
      <w:kern w:val="0"/>
    </w:rPr>
  </w:style>
  <w:style w:type="paragraph" w:customStyle="1" w:styleId="25">
    <w:name w:val="正文（缩进）"/>
    <w:basedOn w:val="1"/>
    <w:qFormat/>
    <w:uiPriority w:val="0"/>
    <w:pPr>
      <w:spacing w:before="50" w:after="50"/>
      <w:ind w:firstLine="20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2024-07-31T00:37:00Z</dcterms:created>
  <dc:creator>张雅希</dc:creator>
  <cp:lastModifiedBy>张雅希</cp:lastModifiedBy>
  <dcterms:modified xsi:type="dcterms:W3CDTF">2026-07-30T02:19:03Z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F2C453F9BA9145D09F394B65CD248215</vt:lpwstr>
  </property>
</Properties>
</file>