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outlineLvl w:val="0"/>
        <w:rPr>
          <w:b/>
          <w:sz w:val="36"/>
          <w:szCs w:val="36"/>
        </w:rPr>
      </w:pPr>
      <w:bookmarkStart w:id="0" w:name="_Toc200123571"/>
      <w:r>
        <w:rPr>
          <w:b/>
          <w:sz w:val="36"/>
          <w:szCs w:val="36"/>
        </w:rPr>
        <w:t>采购需求</w:t>
      </w:r>
      <w:bookmarkEnd w:id="0"/>
    </w:p>
    <w:p>
      <w:pPr>
        <w:numPr>
          <w:ilvl w:val="0"/>
          <w:numId w:val="1"/>
        </w:numPr>
        <w:spacing w:line="360" w:lineRule="auto"/>
        <w:ind w:firstLine="482" w:firstLineChars="200"/>
        <w:contextualSpacing/>
        <w:jc w:val="left"/>
        <w:rPr>
          <w:rFonts w:ascii="仿宋" w:hAnsi="仿宋" w:eastAsia="仿宋" w:cs="宋体"/>
          <w:b/>
          <w:sz w:val="24"/>
        </w:rPr>
      </w:pPr>
      <w:r>
        <w:rPr>
          <w:rFonts w:hint="eastAsia" w:ascii="仿宋" w:hAnsi="仿宋" w:eastAsia="仿宋" w:cs="宋体"/>
          <w:b/>
          <w:sz w:val="24"/>
        </w:rPr>
        <w:t>采购标的</w:t>
      </w:r>
    </w:p>
    <w:p>
      <w:pPr>
        <w:spacing w:line="360" w:lineRule="auto"/>
        <w:ind w:firstLine="482"/>
        <w:contextualSpacing/>
        <w:rPr>
          <w:rFonts w:ascii="仿宋" w:hAnsi="仿宋" w:eastAsia="仿宋" w:cs="宋体"/>
          <w:b/>
          <w:bCs/>
          <w:sz w:val="24"/>
        </w:rPr>
      </w:pPr>
      <w:r>
        <w:rPr>
          <w:rFonts w:hint="eastAsia" w:ascii="仿宋" w:hAnsi="仿宋" w:eastAsia="仿宋" w:cs="宋体"/>
          <w:b/>
          <w:bCs/>
          <w:sz w:val="24"/>
        </w:rPr>
        <w:t>1.采购标的</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5"/>
        <w:gridCol w:w="4155"/>
        <w:gridCol w:w="1133"/>
        <w:gridCol w:w="23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pPr>
              <w:spacing w:line="360" w:lineRule="auto"/>
              <w:contextualSpacing/>
              <w:rPr>
                <w:rFonts w:ascii="仿宋" w:hAnsi="仿宋" w:eastAsia="仿宋" w:cs="宋体"/>
                <w:b/>
                <w:bCs/>
                <w:sz w:val="24"/>
              </w:rPr>
            </w:pPr>
            <w:r>
              <w:rPr>
                <w:rFonts w:hint="eastAsia" w:ascii="仿宋" w:hAnsi="仿宋" w:eastAsia="仿宋" w:cs="宋体"/>
                <w:b/>
                <w:bCs/>
                <w:sz w:val="24"/>
              </w:rPr>
              <w:t>包号</w:t>
            </w:r>
          </w:p>
        </w:tc>
        <w:tc>
          <w:tcPr>
            <w:tcW w:w="2438" w:type="pct"/>
            <w:vAlign w:val="center"/>
          </w:tcPr>
          <w:p>
            <w:pPr>
              <w:spacing w:line="360" w:lineRule="auto"/>
              <w:contextualSpacing/>
              <w:jc w:val="center"/>
              <w:rPr>
                <w:rFonts w:ascii="仿宋" w:hAnsi="仿宋" w:eastAsia="仿宋" w:cs="宋体"/>
                <w:b/>
                <w:bCs/>
                <w:sz w:val="24"/>
              </w:rPr>
            </w:pPr>
            <w:r>
              <w:rPr>
                <w:rFonts w:hint="eastAsia" w:ascii="仿宋" w:hAnsi="仿宋" w:eastAsia="仿宋" w:cs="宋体"/>
                <w:b/>
                <w:bCs/>
                <w:sz w:val="24"/>
              </w:rPr>
              <w:t>标的名称</w:t>
            </w:r>
          </w:p>
        </w:tc>
        <w:tc>
          <w:tcPr>
            <w:tcW w:w="665" w:type="pct"/>
            <w:vAlign w:val="center"/>
          </w:tcPr>
          <w:p>
            <w:pPr>
              <w:spacing w:line="360" w:lineRule="auto"/>
              <w:contextualSpacing/>
              <w:jc w:val="center"/>
              <w:rPr>
                <w:rFonts w:ascii="仿宋" w:hAnsi="仿宋" w:eastAsia="仿宋" w:cs="宋体"/>
                <w:b/>
                <w:bCs/>
                <w:sz w:val="24"/>
              </w:rPr>
            </w:pPr>
            <w:r>
              <w:rPr>
                <w:rFonts w:hint="eastAsia" w:ascii="仿宋" w:hAnsi="仿宋" w:eastAsia="仿宋" w:cs="宋体"/>
                <w:b/>
                <w:bCs/>
                <w:sz w:val="24"/>
              </w:rPr>
              <w:t>数量</w:t>
            </w:r>
          </w:p>
        </w:tc>
        <w:tc>
          <w:tcPr>
            <w:tcW w:w="1360" w:type="pct"/>
            <w:vAlign w:val="center"/>
          </w:tcPr>
          <w:p>
            <w:pPr>
              <w:spacing w:line="360" w:lineRule="auto"/>
              <w:contextualSpacing/>
              <w:jc w:val="center"/>
              <w:rPr>
                <w:rFonts w:ascii="仿宋" w:hAnsi="仿宋" w:eastAsia="仿宋" w:cs="宋体"/>
                <w:b/>
                <w:bCs/>
                <w:sz w:val="24"/>
              </w:rPr>
            </w:pPr>
            <w:r>
              <w:rPr>
                <w:rFonts w:hint="eastAsia" w:ascii="仿宋" w:hAnsi="仿宋" w:eastAsia="仿宋" w:cs="宋体"/>
                <w:b/>
                <w:bCs/>
                <w:sz w:val="24"/>
              </w:rPr>
              <w:t>是否接受进口产品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7" w:type="pct"/>
            <w:vAlign w:val="center"/>
          </w:tcPr>
          <w:p>
            <w:pPr>
              <w:spacing w:line="360" w:lineRule="auto"/>
              <w:contextualSpacing/>
              <w:jc w:val="center"/>
              <w:rPr>
                <w:rFonts w:ascii="仿宋" w:hAnsi="仿宋" w:eastAsia="仿宋" w:cs="宋体"/>
                <w:bCs/>
                <w:sz w:val="24"/>
              </w:rPr>
            </w:pPr>
            <w:r>
              <w:rPr>
                <w:rFonts w:hint="eastAsia" w:ascii="仿宋" w:hAnsi="仿宋" w:eastAsia="仿宋" w:cs="宋体"/>
                <w:bCs/>
                <w:sz w:val="24"/>
              </w:rPr>
              <w:t>1</w:t>
            </w:r>
          </w:p>
        </w:tc>
        <w:tc>
          <w:tcPr>
            <w:tcW w:w="2438" w:type="pct"/>
            <w:vAlign w:val="center"/>
          </w:tcPr>
          <w:p>
            <w:pPr>
              <w:spacing w:line="360" w:lineRule="auto"/>
              <w:contextualSpacing/>
              <w:jc w:val="center"/>
              <w:rPr>
                <w:rFonts w:ascii="仿宋" w:hAnsi="仿宋" w:eastAsia="仿宋" w:cs="宋体"/>
                <w:bCs/>
                <w:sz w:val="24"/>
              </w:rPr>
            </w:pPr>
            <w:r>
              <w:rPr>
                <w:rFonts w:hint="eastAsia" w:ascii="仿宋" w:hAnsi="仿宋" w:eastAsia="仿宋" w:cs="宋体"/>
                <w:bCs/>
                <w:sz w:val="24"/>
              </w:rPr>
              <w:t>首都医科大学附属首都儿童医学中心租赁研究生宿舍</w:t>
            </w:r>
          </w:p>
        </w:tc>
        <w:tc>
          <w:tcPr>
            <w:tcW w:w="665" w:type="pct"/>
            <w:vAlign w:val="center"/>
          </w:tcPr>
          <w:p>
            <w:pPr>
              <w:spacing w:line="360" w:lineRule="auto"/>
              <w:contextualSpacing/>
              <w:jc w:val="center"/>
              <w:rPr>
                <w:rFonts w:ascii="仿宋" w:hAnsi="仿宋" w:eastAsia="仿宋" w:cs="宋体"/>
                <w:bCs/>
                <w:sz w:val="24"/>
              </w:rPr>
            </w:pPr>
            <w:r>
              <w:rPr>
                <w:rFonts w:hint="eastAsia" w:ascii="仿宋" w:hAnsi="仿宋" w:eastAsia="仿宋" w:cs="宋体"/>
                <w:bCs/>
                <w:sz w:val="24"/>
              </w:rPr>
              <w:t>1项</w:t>
            </w:r>
          </w:p>
        </w:tc>
        <w:tc>
          <w:tcPr>
            <w:tcW w:w="1360" w:type="pct"/>
            <w:vAlign w:val="center"/>
          </w:tcPr>
          <w:p>
            <w:pPr>
              <w:spacing w:line="360" w:lineRule="auto"/>
              <w:contextualSpacing/>
              <w:jc w:val="center"/>
              <w:rPr>
                <w:rFonts w:ascii="仿宋" w:hAnsi="仿宋" w:eastAsia="仿宋" w:cs="宋体"/>
                <w:bCs/>
                <w:sz w:val="24"/>
              </w:rPr>
            </w:pPr>
            <w:r>
              <w:rPr>
                <w:rFonts w:hint="eastAsia" w:ascii="仿宋" w:hAnsi="仿宋" w:eastAsia="仿宋" w:cs="宋体"/>
                <w:bCs/>
                <w:sz w:val="24"/>
              </w:rPr>
              <w:t>否</w:t>
            </w:r>
          </w:p>
        </w:tc>
      </w:tr>
    </w:tbl>
    <w:p>
      <w:pPr>
        <w:spacing w:line="360" w:lineRule="auto"/>
        <w:ind w:firstLine="482"/>
        <w:contextualSpacing/>
        <w:rPr>
          <w:rFonts w:ascii="仿宋" w:hAnsi="仿宋" w:eastAsia="仿宋" w:cs="宋体"/>
          <w:b/>
          <w:bCs/>
          <w:sz w:val="24"/>
        </w:rPr>
      </w:pPr>
      <w:r>
        <w:rPr>
          <w:rFonts w:hint="eastAsia" w:ascii="仿宋" w:hAnsi="仿宋" w:eastAsia="仿宋" w:cs="宋体"/>
          <w:b/>
          <w:bCs/>
          <w:sz w:val="24"/>
        </w:rPr>
        <w:t>2.项目背景/项目概述</w:t>
      </w:r>
    </w:p>
    <w:p>
      <w:pPr>
        <w:spacing w:line="360" w:lineRule="auto"/>
        <w:ind w:firstLine="480"/>
        <w:rPr>
          <w:rFonts w:ascii="仿宋" w:hAnsi="仿宋" w:eastAsia="仿宋" w:cs="宋体"/>
          <w:sz w:val="24"/>
        </w:rPr>
      </w:pPr>
      <w:bookmarkStart w:id="1" w:name="OLE_LINK15"/>
      <w:bookmarkStart w:id="2" w:name="OLE_LINK16"/>
      <w:r>
        <w:rPr>
          <w:rFonts w:hint="eastAsia" w:ascii="仿宋" w:hAnsi="仿宋" w:eastAsia="仿宋"/>
          <w:sz w:val="24"/>
        </w:rPr>
        <w:t>采购人作为北京协和医学院、北京大学医学部、首都医科大学的硕博研究生培养单位，本次招标采购是为保障研究生在京学习科研期间的基本生活需求，需要为研究生提供住宿，投标人应根据招标文件所提出的技术规格和服务要求，综合考虑设备的适用性，选择需要最佳性能价格比的设备前来投标。投标人应以技术先进的设备、优良的服务和优惠的价格，充分显示自己的竞争实力。</w:t>
      </w:r>
      <w:bookmarkEnd w:id="1"/>
      <w:bookmarkEnd w:id="2"/>
    </w:p>
    <w:p>
      <w:pPr>
        <w:numPr>
          <w:ilvl w:val="0"/>
          <w:numId w:val="1"/>
        </w:numPr>
        <w:spacing w:line="360" w:lineRule="auto"/>
        <w:ind w:firstLine="482" w:firstLineChars="200"/>
        <w:contextualSpacing/>
        <w:jc w:val="left"/>
        <w:rPr>
          <w:rFonts w:ascii="仿宋" w:hAnsi="仿宋" w:eastAsia="仿宋" w:cs="宋体"/>
          <w:b/>
          <w:sz w:val="24"/>
        </w:rPr>
      </w:pPr>
      <w:r>
        <w:rPr>
          <w:rFonts w:hint="eastAsia" w:ascii="仿宋" w:hAnsi="仿宋" w:eastAsia="仿宋" w:cs="宋体"/>
          <w:b/>
          <w:sz w:val="24"/>
        </w:rPr>
        <w:t>商务要求</w:t>
      </w:r>
    </w:p>
    <w:p>
      <w:pPr>
        <w:spacing w:line="360" w:lineRule="auto"/>
        <w:ind w:firstLine="482"/>
        <w:contextualSpacing/>
        <w:rPr>
          <w:rFonts w:ascii="仿宋" w:hAnsi="仿宋" w:eastAsia="仿宋" w:cs="宋体"/>
          <w:b/>
          <w:sz w:val="24"/>
        </w:rPr>
      </w:pPr>
      <w:r>
        <w:rPr>
          <w:rFonts w:hint="eastAsia" w:ascii="仿宋" w:hAnsi="仿宋" w:eastAsia="仿宋" w:cs="宋体"/>
          <w:b/>
          <w:sz w:val="24"/>
        </w:rPr>
        <w:t>1. 交付（实施）的时间（期限）和地点（范围）</w:t>
      </w:r>
    </w:p>
    <w:p>
      <w:pPr>
        <w:spacing w:line="360" w:lineRule="auto"/>
        <w:ind w:firstLine="480"/>
        <w:rPr>
          <w:rFonts w:ascii="仿宋" w:hAnsi="仿宋" w:eastAsia="仿宋" w:cs="宋体"/>
          <w:sz w:val="24"/>
        </w:rPr>
      </w:pPr>
      <w:r>
        <w:rPr>
          <w:rFonts w:hint="eastAsia" w:ascii="仿宋" w:hAnsi="仿宋" w:eastAsia="仿宋" w:cs="宋体"/>
          <w:sz w:val="24"/>
        </w:rPr>
        <w:t>服务期限：</w:t>
      </w:r>
      <w:bookmarkStart w:id="3" w:name="OLE_LINK18"/>
      <w:r>
        <w:rPr>
          <w:rFonts w:hint="eastAsia" w:ascii="仿宋" w:hAnsi="仿宋" w:eastAsia="仿宋"/>
          <w:sz w:val="24"/>
        </w:rPr>
        <w:t>3年</w:t>
      </w:r>
      <w:bookmarkStart w:id="4" w:name="OLE_LINK4"/>
      <w:r>
        <w:rPr>
          <w:rFonts w:hint="eastAsia" w:ascii="仿宋" w:hAnsi="仿宋" w:eastAsia="仿宋"/>
          <w:sz w:val="24"/>
        </w:rPr>
        <w:t>（</w:t>
      </w:r>
      <w:r>
        <w:rPr>
          <w:rFonts w:ascii="仿宋" w:hAnsi="仿宋" w:eastAsia="仿宋"/>
          <w:sz w:val="24"/>
        </w:rPr>
        <w:t>2026.9.1-2029.8.31</w:t>
      </w:r>
      <w:r>
        <w:rPr>
          <w:rFonts w:hint="eastAsia" w:ascii="仿宋" w:hAnsi="仿宋" w:eastAsia="仿宋"/>
          <w:sz w:val="24"/>
        </w:rPr>
        <w:t>）</w:t>
      </w:r>
      <w:bookmarkEnd w:id="4"/>
      <w:r>
        <w:rPr>
          <w:rFonts w:hint="eastAsia" w:ascii="仿宋" w:hAnsi="仿宋" w:eastAsia="仿宋"/>
          <w:sz w:val="24"/>
        </w:rPr>
        <w:t>。</w:t>
      </w:r>
      <w:bookmarkEnd w:id="3"/>
    </w:p>
    <w:p>
      <w:pPr>
        <w:spacing w:line="360" w:lineRule="auto"/>
        <w:ind w:firstLine="480"/>
        <w:rPr>
          <w:rFonts w:ascii="仿宋" w:hAnsi="仿宋" w:eastAsia="仿宋" w:cs="宋体"/>
          <w:sz w:val="24"/>
        </w:rPr>
      </w:pPr>
      <w:r>
        <w:rPr>
          <w:rFonts w:hint="eastAsia" w:ascii="仿宋" w:hAnsi="仿宋" w:eastAsia="仿宋" w:cs="宋体"/>
          <w:sz w:val="24"/>
        </w:rPr>
        <w:t>服务地点：</w:t>
      </w:r>
      <w:r>
        <w:rPr>
          <w:rFonts w:hint="eastAsia" w:ascii="仿宋" w:hAnsi="仿宋" w:eastAsia="仿宋"/>
          <w:sz w:val="24"/>
        </w:rPr>
        <w:t>首都医科大学附属首都儿童医学中心指定地点。</w:t>
      </w:r>
    </w:p>
    <w:p>
      <w:pPr>
        <w:spacing w:line="360" w:lineRule="auto"/>
        <w:ind w:firstLine="482"/>
        <w:contextualSpacing/>
        <w:rPr>
          <w:rFonts w:ascii="仿宋" w:hAnsi="仿宋" w:eastAsia="仿宋" w:cs="宋体"/>
          <w:b/>
          <w:sz w:val="24"/>
        </w:rPr>
      </w:pPr>
      <w:r>
        <w:rPr>
          <w:rFonts w:hint="eastAsia" w:ascii="仿宋" w:hAnsi="仿宋" w:eastAsia="仿宋" w:cs="宋体"/>
          <w:b/>
          <w:sz w:val="24"/>
        </w:rPr>
        <w:t>2. 付款条件（进度和方式）</w:t>
      </w:r>
    </w:p>
    <w:p>
      <w:pPr>
        <w:spacing w:line="360" w:lineRule="auto"/>
        <w:ind w:firstLine="480"/>
        <w:rPr>
          <w:rFonts w:ascii="仿宋" w:hAnsi="仿宋" w:eastAsia="仿宋"/>
          <w:sz w:val="24"/>
        </w:rPr>
      </w:pPr>
      <w:r>
        <w:rPr>
          <w:rFonts w:hint="eastAsia" w:ascii="仿宋" w:hAnsi="仿宋" w:eastAsia="仿宋"/>
          <w:sz w:val="24"/>
        </w:rPr>
        <w:t>参照拟签订的合同文本中的付款方式及进度执行。</w:t>
      </w:r>
    </w:p>
    <w:p>
      <w:pPr>
        <w:spacing w:line="360" w:lineRule="auto"/>
        <w:ind w:firstLine="482"/>
        <w:rPr>
          <w:rFonts w:ascii="仿宋" w:hAnsi="仿宋" w:eastAsia="仿宋" w:cs="宋体"/>
          <w:b/>
          <w:sz w:val="24"/>
        </w:rPr>
      </w:pPr>
      <w:r>
        <w:rPr>
          <w:rFonts w:hint="eastAsia" w:ascii="仿宋" w:hAnsi="仿宋" w:eastAsia="仿宋" w:cs="宋体"/>
          <w:b/>
          <w:sz w:val="24"/>
        </w:rPr>
        <w:t>3.</w:t>
      </w:r>
      <w:r>
        <w:rPr>
          <w:rFonts w:ascii="仿宋" w:hAnsi="仿宋" w:eastAsia="仿宋" w:cs="宋体"/>
          <w:b/>
          <w:sz w:val="24"/>
        </w:rPr>
        <w:t>包装和运输</w:t>
      </w:r>
    </w:p>
    <w:p>
      <w:pPr>
        <w:spacing w:line="360" w:lineRule="auto"/>
        <w:ind w:firstLine="480"/>
        <w:rPr>
          <w:rFonts w:ascii="仿宋" w:hAnsi="仿宋" w:eastAsia="仿宋"/>
          <w:sz w:val="24"/>
        </w:rPr>
      </w:pPr>
      <w:r>
        <w:rPr>
          <w:rFonts w:hint="eastAsia" w:ascii="仿宋" w:hAnsi="仿宋" w:eastAsia="仿宋"/>
          <w:sz w:val="24"/>
        </w:rPr>
        <w:t>无。</w:t>
      </w:r>
    </w:p>
    <w:p>
      <w:pPr>
        <w:spacing w:line="360" w:lineRule="auto"/>
        <w:ind w:firstLine="482"/>
        <w:rPr>
          <w:rFonts w:ascii="仿宋" w:hAnsi="仿宋" w:eastAsia="仿宋"/>
          <w:sz w:val="24"/>
        </w:rPr>
      </w:pPr>
      <w:r>
        <w:rPr>
          <w:rFonts w:hint="eastAsia" w:ascii="仿宋" w:hAnsi="仿宋" w:eastAsia="仿宋" w:cs="宋体"/>
          <w:b/>
          <w:sz w:val="24"/>
        </w:rPr>
        <w:t>4.</w:t>
      </w:r>
      <w:r>
        <w:rPr>
          <w:rFonts w:ascii="仿宋" w:hAnsi="仿宋" w:eastAsia="仿宋" w:cs="宋体"/>
          <w:b/>
          <w:sz w:val="24"/>
        </w:rPr>
        <w:t>售后服务（质保期）（如适用）</w:t>
      </w:r>
    </w:p>
    <w:p>
      <w:pPr>
        <w:spacing w:line="360" w:lineRule="auto"/>
        <w:ind w:firstLine="480"/>
        <w:rPr>
          <w:rFonts w:ascii="仿宋" w:hAnsi="仿宋" w:eastAsia="仿宋"/>
          <w:sz w:val="24"/>
        </w:rPr>
      </w:pPr>
      <w:r>
        <w:rPr>
          <w:rFonts w:hint="eastAsia" w:ascii="仿宋" w:hAnsi="仿宋" w:eastAsia="仿宋"/>
          <w:sz w:val="24"/>
        </w:rPr>
        <w:t>无。</w:t>
      </w:r>
    </w:p>
    <w:p>
      <w:pPr>
        <w:spacing w:line="360" w:lineRule="auto"/>
        <w:ind w:firstLine="482"/>
        <w:rPr>
          <w:rFonts w:ascii="仿宋" w:hAnsi="仿宋" w:eastAsia="仿宋" w:cs="宋体"/>
          <w:sz w:val="24"/>
        </w:rPr>
      </w:pPr>
      <w:r>
        <w:rPr>
          <w:rFonts w:hint="eastAsia" w:ascii="仿宋" w:hAnsi="仿宋" w:eastAsia="仿宋" w:cs="宋体"/>
          <w:b/>
          <w:sz w:val="24"/>
        </w:rPr>
        <w:t>5.</w:t>
      </w:r>
      <w:r>
        <w:rPr>
          <w:rFonts w:ascii="仿宋" w:hAnsi="仿宋" w:eastAsia="仿宋" w:cs="宋体"/>
          <w:b/>
          <w:sz w:val="24"/>
        </w:rPr>
        <w:t>保险（</w:t>
      </w:r>
      <w:r>
        <w:rPr>
          <w:rFonts w:hint="eastAsia" w:ascii="仿宋" w:hAnsi="仿宋" w:eastAsia="仿宋" w:cs="宋体"/>
          <w:b/>
          <w:sz w:val="24"/>
        </w:rPr>
        <w:t>不</w:t>
      </w:r>
      <w:r>
        <w:rPr>
          <w:rFonts w:ascii="仿宋" w:hAnsi="仿宋" w:eastAsia="仿宋" w:cs="宋体"/>
          <w:b/>
          <w:sz w:val="24"/>
        </w:rPr>
        <w:t>适用）</w:t>
      </w:r>
    </w:p>
    <w:p>
      <w:pPr>
        <w:spacing w:line="360" w:lineRule="auto"/>
        <w:ind w:firstLine="480"/>
        <w:rPr>
          <w:rFonts w:ascii="仿宋" w:hAnsi="仿宋" w:eastAsia="仿宋"/>
          <w:sz w:val="24"/>
        </w:rPr>
      </w:pPr>
      <w:r>
        <w:rPr>
          <w:rFonts w:hint="eastAsia" w:ascii="仿宋" w:hAnsi="仿宋" w:eastAsia="仿宋"/>
          <w:sz w:val="24"/>
        </w:rPr>
        <w:t>无。</w:t>
      </w:r>
    </w:p>
    <w:p>
      <w:pPr>
        <w:numPr>
          <w:ilvl w:val="0"/>
          <w:numId w:val="1"/>
        </w:numPr>
        <w:spacing w:line="360" w:lineRule="auto"/>
        <w:ind w:firstLine="482" w:firstLineChars="200"/>
        <w:contextualSpacing/>
        <w:jc w:val="left"/>
        <w:rPr>
          <w:rFonts w:ascii="仿宋" w:hAnsi="仿宋" w:eastAsia="仿宋" w:cs="宋体"/>
          <w:b/>
          <w:sz w:val="24"/>
        </w:rPr>
      </w:pPr>
      <w:r>
        <w:rPr>
          <w:rFonts w:hint="eastAsia" w:ascii="仿宋" w:hAnsi="仿宋" w:eastAsia="仿宋" w:cs="宋体"/>
          <w:b/>
          <w:sz w:val="24"/>
        </w:rPr>
        <w:t>技术要求</w:t>
      </w:r>
    </w:p>
    <w:p>
      <w:pPr>
        <w:spacing w:line="360" w:lineRule="auto"/>
        <w:ind w:firstLine="503"/>
        <w:rPr>
          <w:rFonts w:ascii="仿宋" w:hAnsi="仿宋" w:eastAsia="仿宋"/>
          <w:b/>
          <w:sz w:val="24"/>
        </w:rPr>
      </w:pPr>
      <w:r>
        <w:rPr>
          <w:rFonts w:ascii="仿宋" w:hAnsi="仿宋" w:eastAsia="仿宋" w:cs="Arial"/>
          <w:b/>
          <w:w w:val="105"/>
          <w:sz w:val="24"/>
        </w:rPr>
        <w:t>1.</w:t>
      </w:r>
      <w:r>
        <w:rPr>
          <w:rFonts w:ascii="仿宋" w:hAnsi="仿宋" w:eastAsia="仿宋"/>
          <w:b/>
          <w:w w:val="105"/>
          <w:sz w:val="24"/>
        </w:rPr>
        <w:t>基本要求</w:t>
      </w:r>
    </w:p>
    <w:p>
      <w:pPr>
        <w:spacing w:line="360" w:lineRule="auto"/>
        <w:ind w:firstLine="480"/>
        <w:rPr>
          <w:rFonts w:ascii="仿宋" w:hAnsi="仿宋" w:eastAsia="仿宋"/>
          <w:b/>
          <w:sz w:val="24"/>
        </w:rPr>
      </w:pPr>
      <w:r>
        <w:rPr>
          <w:rFonts w:ascii="仿宋" w:hAnsi="仿宋" w:eastAsia="仿宋" w:cs="Arial"/>
          <w:b/>
          <w:sz w:val="24"/>
        </w:rPr>
        <w:t>1.1</w:t>
      </w:r>
      <w:r>
        <w:rPr>
          <w:rFonts w:ascii="仿宋" w:hAnsi="仿宋" w:eastAsia="仿宋"/>
          <w:b/>
          <w:sz w:val="24"/>
        </w:rPr>
        <w:t>采购标的需实现的功能或者目标</w:t>
      </w:r>
      <w:r>
        <w:rPr>
          <w:rFonts w:hint="eastAsia" w:ascii="仿宋" w:hAnsi="仿宋" w:eastAsia="仿宋"/>
          <w:b/>
          <w:sz w:val="24"/>
        </w:rPr>
        <w:t>。</w:t>
      </w:r>
    </w:p>
    <w:p>
      <w:pPr>
        <w:spacing w:line="360" w:lineRule="auto"/>
        <w:ind w:firstLine="482"/>
        <w:contextualSpacing/>
        <w:rPr>
          <w:rFonts w:ascii="仿宋" w:hAnsi="仿宋" w:eastAsia="仿宋"/>
          <w:sz w:val="24"/>
        </w:rPr>
      </w:pPr>
      <w:r>
        <w:rPr>
          <w:rFonts w:hint="eastAsia" w:ascii="仿宋" w:hAnsi="仿宋" w:eastAsia="仿宋"/>
          <w:sz w:val="24"/>
        </w:rPr>
        <w:t>采购人作为北京协和医学院、北京大学医学部、首都医科大学的硕博研究生培养单位，本次招标采购是为保障研究生在京学习科研期间的基本生活需求，需要为研究生提供住宿，投标人应根据招标文件所提出的技术规格和服务要求，综合考虑设备的适用性，选择需要最佳性能价格比的设备前来投标。投标人应以技术先进的设备、优良的服务和优惠的价格，充分显示自己的竞争实力。</w:t>
      </w:r>
    </w:p>
    <w:p>
      <w:pPr>
        <w:spacing w:line="360" w:lineRule="auto"/>
        <w:ind w:firstLine="482"/>
        <w:contextualSpacing/>
        <w:rPr>
          <w:rFonts w:ascii="仿宋" w:hAnsi="仿宋" w:eastAsia="仿宋"/>
          <w:b/>
          <w:sz w:val="24"/>
        </w:rPr>
      </w:pPr>
      <w:r>
        <w:rPr>
          <w:rFonts w:ascii="仿宋" w:hAnsi="仿宋" w:eastAsia="仿宋" w:cs="Arial"/>
          <w:b/>
          <w:sz w:val="24"/>
        </w:rPr>
        <w:t>1.2</w:t>
      </w:r>
      <w:r>
        <w:rPr>
          <w:rFonts w:ascii="仿宋" w:hAnsi="仿宋" w:eastAsia="仿宋"/>
          <w:b/>
          <w:sz w:val="24"/>
        </w:rPr>
        <w:t>需执行的国家相关标准、行业标准、地方标准或者其他标准、规范</w:t>
      </w:r>
    </w:p>
    <w:p>
      <w:pPr>
        <w:spacing w:line="360" w:lineRule="auto"/>
        <w:ind w:firstLine="482"/>
        <w:contextualSpacing/>
        <w:rPr>
          <w:rFonts w:ascii="仿宋" w:hAnsi="仿宋" w:eastAsia="仿宋" w:cs="宋体"/>
          <w:bCs/>
          <w:sz w:val="24"/>
        </w:rPr>
      </w:pPr>
      <w:r>
        <w:rPr>
          <w:rFonts w:hint="eastAsia" w:ascii="仿宋" w:hAnsi="仿宋" w:eastAsia="仿宋" w:cs="Arial"/>
          <w:bCs/>
          <w:sz w:val="24"/>
        </w:rPr>
        <w:t>需执行的国家相关标准、行业标准、地方标准或者其他标准、规范。符合已颁布的现行中华人民共和国认可的国家标准、地方标准和行业标准。如果这些标准内容有矛盾时，应按最高标准的条款执行。</w:t>
      </w:r>
    </w:p>
    <w:p>
      <w:pPr>
        <w:spacing w:line="360" w:lineRule="auto"/>
        <w:ind w:firstLine="480"/>
        <w:rPr>
          <w:rFonts w:ascii="仿宋" w:hAnsi="仿宋" w:eastAsia="仿宋"/>
          <w:b/>
          <w:sz w:val="24"/>
        </w:rPr>
      </w:pPr>
      <w:r>
        <w:rPr>
          <w:rFonts w:ascii="仿宋" w:hAnsi="仿宋" w:eastAsia="仿宋" w:cs="Arial"/>
          <w:b/>
          <w:sz w:val="24"/>
        </w:rPr>
        <w:t>2.</w:t>
      </w:r>
      <w:r>
        <w:rPr>
          <w:rFonts w:ascii="仿宋" w:hAnsi="仿宋" w:eastAsia="仿宋"/>
          <w:b/>
          <w:sz w:val="24"/>
        </w:rPr>
        <w:t>服务内容及要求</w:t>
      </w:r>
      <w:r>
        <w:rPr>
          <w:rFonts w:ascii="仿宋" w:hAnsi="仿宋" w:eastAsia="仿宋" w:cs="Arial"/>
          <w:b/>
          <w:sz w:val="24"/>
        </w:rPr>
        <w:t>/</w:t>
      </w:r>
      <w:r>
        <w:rPr>
          <w:rFonts w:ascii="仿宋" w:hAnsi="仿宋" w:eastAsia="仿宋"/>
          <w:b/>
          <w:sz w:val="24"/>
        </w:rPr>
        <w:t>货物技术要求</w:t>
      </w:r>
    </w:p>
    <w:p>
      <w:pPr>
        <w:spacing w:line="360" w:lineRule="auto"/>
        <w:ind w:firstLine="480"/>
        <w:rPr>
          <w:rFonts w:ascii="仿宋" w:hAnsi="仿宋" w:eastAsia="仿宋"/>
          <w:b/>
          <w:sz w:val="24"/>
        </w:rPr>
      </w:pPr>
      <w:r>
        <w:rPr>
          <w:rFonts w:ascii="仿宋" w:hAnsi="仿宋" w:eastAsia="仿宋" w:cs="Arial"/>
          <w:b/>
          <w:sz w:val="24"/>
        </w:rPr>
        <w:t>2.1</w:t>
      </w:r>
      <w:r>
        <w:rPr>
          <w:rFonts w:ascii="仿宋" w:hAnsi="仿宋" w:eastAsia="仿宋"/>
          <w:b/>
          <w:sz w:val="24"/>
        </w:rPr>
        <w:t>采购标的需满足的性能、材料、结构、外观、质量、安全、技术规格、物理特性等要求</w:t>
      </w:r>
      <w:r>
        <w:rPr>
          <w:rFonts w:hint="eastAsia" w:ascii="仿宋" w:hAnsi="仿宋" w:eastAsia="仿宋"/>
          <w:b/>
          <w:sz w:val="24"/>
        </w:rPr>
        <w:t>。</w:t>
      </w:r>
    </w:p>
    <w:p>
      <w:pPr>
        <w:spacing w:line="360" w:lineRule="auto"/>
        <w:ind w:firstLine="480"/>
        <w:rPr>
          <w:rFonts w:ascii="仿宋" w:hAnsi="仿宋" w:eastAsia="仿宋"/>
          <w:sz w:val="24"/>
        </w:rPr>
      </w:pPr>
      <w:r>
        <w:rPr>
          <w:rFonts w:ascii="仿宋" w:hAnsi="仿宋" w:eastAsia="仿宋"/>
          <w:sz w:val="24"/>
        </w:rPr>
        <w:t>无。</w:t>
      </w:r>
    </w:p>
    <w:p>
      <w:pPr>
        <w:spacing w:line="360" w:lineRule="auto"/>
        <w:ind w:firstLine="480"/>
        <w:rPr>
          <w:rFonts w:ascii="仿宋" w:hAnsi="仿宋" w:eastAsia="仿宋"/>
          <w:b/>
          <w:sz w:val="24"/>
        </w:rPr>
      </w:pPr>
      <w:r>
        <w:rPr>
          <w:rFonts w:ascii="仿宋" w:hAnsi="仿宋" w:eastAsia="仿宋" w:cs="Arial"/>
          <w:b/>
          <w:sz w:val="24"/>
        </w:rPr>
        <w:t>2.2</w:t>
      </w:r>
      <w:r>
        <w:rPr>
          <w:rFonts w:ascii="仿宋" w:hAnsi="仿宋" w:eastAsia="仿宋"/>
          <w:b/>
          <w:sz w:val="24"/>
        </w:rPr>
        <w:t>采购标的需满足的服务标准、期限、效率等要求</w:t>
      </w:r>
    </w:p>
    <w:p>
      <w:pPr>
        <w:spacing w:line="360" w:lineRule="auto"/>
        <w:ind w:firstLine="480"/>
        <w:rPr>
          <w:rFonts w:ascii="仿宋" w:hAnsi="仿宋" w:eastAsia="仿宋"/>
          <w:sz w:val="24"/>
        </w:rPr>
      </w:pPr>
      <w:r>
        <w:rPr>
          <w:rFonts w:hint="eastAsia" w:ascii="仿宋" w:hAnsi="仿宋" w:eastAsia="仿宋"/>
          <w:sz w:val="24"/>
        </w:rPr>
        <w:t>服务期限：3年（2026.9.1-2029.8.31）。</w:t>
      </w:r>
    </w:p>
    <w:p>
      <w:pPr>
        <w:spacing w:line="360" w:lineRule="auto"/>
        <w:ind w:firstLine="480"/>
        <w:rPr>
          <w:rFonts w:ascii="仿宋" w:hAnsi="仿宋" w:eastAsia="仿宋"/>
          <w:b/>
          <w:sz w:val="24"/>
        </w:rPr>
      </w:pPr>
      <w:r>
        <w:rPr>
          <w:rFonts w:ascii="仿宋" w:hAnsi="仿宋" w:eastAsia="仿宋" w:cs="Arial"/>
          <w:b/>
          <w:sz w:val="24"/>
        </w:rPr>
        <w:t>2.3</w:t>
      </w:r>
      <w:r>
        <w:rPr>
          <w:rFonts w:ascii="仿宋" w:hAnsi="仿宋" w:eastAsia="仿宋"/>
          <w:b/>
          <w:sz w:val="24"/>
        </w:rPr>
        <w:t>为落实政府采购政策需满足的要求</w:t>
      </w:r>
    </w:p>
    <w:p>
      <w:pPr>
        <w:spacing w:line="360" w:lineRule="auto"/>
        <w:ind w:firstLine="480"/>
        <w:rPr>
          <w:rFonts w:ascii="仿宋" w:hAnsi="仿宋" w:eastAsia="仿宋" w:cs="宋体"/>
          <w:sz w:val="24"/>
        </w:rPr>
      </w:pPr>
      <w:r>
        <w:rPr>
          <w:rFonts w:hint="eastAsia" w:ascii="仿宋" w:hAnsi="仿宋" w:eastAsia="仿宋" w:cs="宋体"/>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pPr>
        <w:spacing w:line="360" w:lineRule="auto"/>
        <w:ind w:firstLine="480"/>
        <w:rPr>
          <w:rFonts w:ascii="仿宋" w:hAnsi="仿宋" w:eastAsia="仿宋" w:cs="宋体"/>
          <w:sz w:val="24"/>
        </w:rPr>
      </w:pPr>
      <w:r>
        <w:rPr>
          <w:rFonts w:hint="eastAsia" w:ascii="仿宋" w:hAnsi="仿宋" w:eastAsia="仿宋" w:cs="宋体"/>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pPr>
        <w:spacing w:line="360" w:lineRule="auto"/>
        <w:ind w:firstLine="480"/>
        <w:rPr>
          <w:rFonts w:ascii="仿宋" w:hAnsi="仿宋" w:eastAsia="仿宋" w:cs="宋体"/>
          <w:sz w:val="24"/>
        </w:rPr>
      </w:pPr>
      <w:r>
        <w:rPr>
          <w:rFonts w:hint="eastAsia" w:ascii="仿宋" w:hAnsi="仿宋" w:eastAsia="仿宋" w:cs="宋体"/>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pPr>
        <w:spacing w:line="360" w:lineRule="auto"/>
        <w:ind w:firstLine="480"/>
        <w:rPr>
          <w:rFonts w:ascii="仿宋" w:hAnsi="仿宋" w:eastAsia="仿宋" w:cs="宋体"/>
          <w:sz w:val="24"/>
        </w:rPr>
      </w:pPr>
      <w:r>
        <w:rPr>
          <w:rFonts w:hint="eastAsia" w:ascii="仿宋" w:hAnsi="仿宋" w:eastAsia="仿宋" w:cs="宋体"/>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pPr>
        <w:pStyle w:val="7"/>
        <w:spacing w:line="360" w:lineRule="auto"/>
        <w:ind w:firstLine="480"/>
        <w:rPr>
          <w:rFonts w:ascii="仿宋" w:hAnsi="仿宋" w:eastAsia="仿宋"/>
        </w:rPr>
      </w:pPr>
      <w:r>
        <w:rPr>
          <w:rFonts w:hint="eastAsia" w:ascii="仿宋" w:hAnsi="仿宋" w:eastAsia="仿宋" w:cs="宋体"/>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pPr>
        <w:pStyle w:val="7"/>
        <w:spacing w:line="360" w:lineRule="auto"/>
        <w:ind w:firstLine="482"/>
        <w:contextualSpacing/>
        <w:rPr>
          <w:rFonts w:ascii="仿宋" w:hAnsi="仿宋" w:eastAsia="仿宋"/>
        </w:rPr>
      </w:pPr>
      <w:r>
        <w:rPr>
          <w:rFonts w:hint="eastAsia" w:ascii="仿宋" w:hAnsi="仿宋" w:eastAsia="仿宋"/>
        </w:rPr>
        <w:t>（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pPr>
        <w:spacing w:line="360" w:lineRule="auto"/>
        <w:ind w:firstLine="482"/>
        <w:contextualSpacing/>
        <w:rPr>
          <w:rFonts w:ascii="仿宋" w:hAnsi="仿宋" w:eastAsia="仿宋"/>
          <w:b/>
          <w:sz w:val="24"/>
        </w:rPr>
      </w:pPr>
      <w:r>
        <w:rPr>
          <w:rFonts w:ascii="仿宋" w:hAnsi="仿宋" w:eastAsia="仿宋" w:cs="Arial"/>
          <w:b/>
          <w:sz w:val="24"/>
        </w:rPr>
        <w:t>2.4</w:t>
      </w:r>
      <w:r>
        <w:rPr>
          <w:rFonts w:ascii="仿宋" w:hAnsi="仿宋" w:eastAsia="仿宋"/>
          <w:b/>
          <w:sz w:val="24"/>
        </w:rPr>
        <w:t>采购标的其他技术、服务等要求</w:t>
      </w:r>
    </w:p>
    <w:p>
      <w:pPr>
        <w:adjustRightInd w:val="0"/>
        <w:spacing w:line="360" w:lineRule="auto"/>
        <w:ind w:firstLine="482"/>
        <w:contextualSpacing/>
        <w:jc w:val="left"/>
        <w:rPr>
          <w:rFonts w:ascii="仿宋" w:hAnsi="仿宋" w:eastAsia="仿宋"/>
          <w:sz w:val="24"/>
        </w:rPr>
      </w:pPr>
      <w:r>
        <w:rPr>
          <w:rFonts w:hint="eastAsia" w:ascii="仿宋" w:hAnsi="仿宋" w:eastAsia="仿宋"/>
          <w:sz w:val="24"/>
        </w:rPr>
        <w:t>2.4.1位置：拟租房屋位置距离首都医科大学附属首都儿童医学中心不超过1</w:t>
      </w:r>
      <w:r>
        <w:rPr>
          <w:rFonts w:ascii="仿宋" w:hAnsi="仿宋" w:eastAsia="仿宋"/>
          <w:sz w:val="24"/>
        </w:rPr>
        <w:t>0</w:t>
      </w:r>
      <w:r>
        <w:rPr>
          <w:rFonts w:hint="eastAsia" w:ascii="仿宋" w:hAnsi="仿宋" w:eastAsia="仿宋"/>
          <w:sz w:val="24"/>
        </w:rPr>
        <w:t>公里，周边交通发达、配套设施完善，按需提供班车，每日不少于两班次。</w:t>
      </w:r>
    </w:p>
    <w:p>
      <w:pPr>
        <w:adjustRightInd w:val="0"/>
        <w:spacing w:line="360" w:lineRule="auto"/>
        <w:ind w:firstLine="482"/>
        <w:contextualSpacing/>
        <w:jc w:val="left"/>
        <w:rPr>
          <w:rFonts w:ascii="仿宋" w:hAnsi="仿宋" w:eastAsia="仿宋"/>
          <w:sz w:val="24"/>
        </w:rPr>
      </w:pPr>
      <w:r>
        <w:rPr>
          <w:rFonts w:hint="eastAsia" w:ascii="仿宋" w:hAnsi="仿宋" w:eastAsia="仿宋"/>
          <w:sz w:val="24"/>
        </w:rPr>
        <w:t>2.4.2户型面积：人均使用面积不低于8平米。建筑房体年限40年以下。投标人应在投标文件中提供拟出租房屋的产权证明等资料并加盖投标人公章。</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2.4.3房间数量：每个房间居住人数不超过4人，可容纳学生总数160</w:t>
      </w:r>
      <w:r>
        <w:rPr>
          <w:rFonts w:ascii="仿宋" w:hAnsi="仿宋" w:eastAsia="仿宋"/>
          <w:sz w:val="24"/>
        </w:rPr>
        <w:t>人左右</w:t>
      </w:r>
      <w:r>
        <w:rPr>
          <w:rFonts w:hint="eastAsia" w:ascii="仿宋" w:hAnsi="仿宋" w:eastAsia="仿宋"/>
          <w:sz w:val="24"/>
        </w:rPr>
        <w:t>。</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2.4.4房间配置：所有房间均需为一室开间带独立卫浴户型，功能齐全，有多个收纳空间；房间内配有正规品牌家具家电，低能环保；房屋具有优异的防火性，装修材料燃烧性能等级≥B1级。防潮防湿且易于清洁，同时具备一定的隔音效果。宿舍配有床、写字台、衣柜、洗衣机、WiFi、暖气、置物柜；可拎包入住。</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2.4.5宿舍配套：宿舍需配套生活和活动区，满足学生日常休闲需求。</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2.4.6安全管理：宿舍要特别关注区域安全，全方位地保证住宿生安全。</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2.4.6.1项目地出租楼层为整层出租，不与社会人员混楼层居住，居住环境相对安静、安全；</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2.4.6.2宿舍物业需提供管家服务，配有保洁人员，宿舍楼内或楼外设立垃圾集中投放点，按照垃圾分类要求，配置足够数量的分类垃圾桶（箱）。</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2.4.6.3小区需配置24小时安保，大门具备门禁系统，学生可刷卡或人脸识别出入，谢绝非住户入楼；宿舍入户门为电子锁，住宿生可自行选择房卡、设置密码或录入指纹等方式；楼道内24小时监控，全方位保证住宿生安全；投标人做好房间及所有公共设施（含消防设施、电梯等）的维修管理及日常维护工作，每间房间需要有烟感，投标人需对水、电、冷、暖、消防等所有设施的安全负责。维修时限需满足24小时内响应，72小时内维修到位。</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2.4.7费用要求：房租已包含供暖、网费等。绿化、保安、垃圾清运均由投标人负责。采购人不再另行支付投标人其他费用。</w:t>
      </w:r>
    </w:p>
    <w:p>
      <w:pPr>
        <w:adjustRightInd w:val="0"/>
        <w:spacing w:line="360" w:lineRule="auto"/>
        <w:ind w:firstLine="480" w:firstLineChars="200"/>
        <w:contextualSpacing/>
        <w:jc w:val="left"/>
        <w:rPr>
          <w:rFonts w:ascii="仿宋" w:hAnsi="仿宋" w:eastAsia="仿宋"/>
          <w:sz w:val="24"/>
        </w:rPr>
      </w:pPr>
      <w:r>
        <w:rPr>
          <w:rFonts w:hint="eastAsia" w:ascii="仿宋" w:hAnsi="仿宋" w:eastAsia="仿宋"/>
          <w:sz w:val="24"/>
        </w:rPr>
        <w:t>2.4.8人员配备：服务期内，投标人需配备宿管人员，每季度与采购人联合入户检查。安保2人，安保24小时监控，每天巡视。保洁2人，公共区域打扫1次。</w:t>
      </w:r>
    </w:p>
    <w:p>
      <w:pPr>
        <w:pStyle w:val="2"/>
        <w:spacing w:after="0" w:line="360" w:lineRule="auto"/>
        <w:ind w:left="0" w:leftChars="0" w:firstLine="480" w:firstLineChars="0"/>
        <w:contextualSpacing/>
        <w:rPr>
          <w:rFonts w:ascii="仿宋" w:hAnsi="仿宋" w:eastAsia="仿宋"/>
          <w:szCs w:val="24"/>
        </w:rPr>
      </w:pPr>
      <w:r>
        <w:rPr>
          <w:rFonts w:hint="eastAsia" w:ascii="仿宋" w:hAnsi="仿宋" w:eastAsia="仿宋"/>
          <w:szCs w:val="24"/>
        </w:rPr>
        <w:t>2.4.9其他要求：</w:t>
      </w:r>
    </w:p>
    <w:p>
      <w:pPr>
        <w:pStyle w:val="2"/>
        <w:spacing w:after="0" w:line="360" w:lineRule="auto"/>
        <w:ind w:left="0" w:leftChars="0" w:firstLine="480" w:firstLineChars="0"/>
        <w:contextualSpacing/>
        <w:rPr>
          <w:rFonts w:ascii="仿宋" w:hAnsi="仿宋" w:eastAsia="仿宋"/>
          <w:szCs w:val="24"/>
        </w:rPr>
      </w:pPr>
      <w:r>
        <w:rPr>
          <w:rFonts w:hint="eastAsia" w:ascii="仿宋" w:hAnsi="仿宋" w:eastAsia="仿宋"/>
          <w:szCs w:val="24"/>
        </w:rPr>
        <w:t>2.4.9.1入住当天，投标人将该房屋按照本合同</w:t>
      </w:r>
      <w:r>
        <w:rPr>
          <w:rFonts w:ascii="仿宋" w:hAnsi="仿宋" w:eastAsia="仿宋"/>
          <w:szCs w:val="24"/>
        </w:rPr>
        <w:t>签订时</w:t>
      </w:r>
      <w:r>
        <w:rPr>
          <w:rFonts w:hint="eastAsia" w:ascii="仿宋" w:hAnsi="仿宋" w:eastAsia="仿宋"/>
          <w:szCs w:val="24"/>
        </w:rPr>
        <w:t>的</w:t>
      </w:r>
      <w:r>
        <w:rPr>
          <w:rFonts w:ascii="仿宋" w:hAnsi="仿宋" w:eastAsia="仿宋"/>
          <w:szCs w:val="24"/>
        </w:rPr>
        <w:t>现状</w:t>
      </w:r>
      <w:r>
        <w:rPr>
          <w:rFonts w:hint="eastAsia" w:ascii="仿宋" w:hAnsi="仿宋" w:eastAsia="仿宋"/>
          <w:szCs w:val="24"/>
        </w:rPr>
        <w:t>交付给采购人，由采购人进行验收，并办理相应的入住手续。若采购人验收时，现有的装修、附属设施或设备存在缺陷、影响采购人正常使用的，投标人应自交付之日起的</w:t>
      </w:r>
      <w:r>
        <w:rPr>
          <w:rFonts w:ascii="仿宋" w:hAnsi="仿宋" w:eastAsia="仿宋"/>
          <w:szCs w:val="24"/>
        </w:rPr>
        <w:t>3</w:t>
      </w:r>
      <w:r>
        <w:rPr>
          <w:rFonts w:hint="eastAsia" w:ascii="仿宋" w:hAnsi="仿宋" w:eastAsia="仿宋"/>
          <w:szCs w:val="24"/>
        </w:rPr>
        <w:t>日内进行修复。</w:t>
      </w:r>
    </w:p>
    <w:p>
      <w:pPr>
        <w:pStyle w:val="2"/>
        <w:spacing w:after="0" w:line="360" w:lineRule="auto"/>
        <w:ind w:left="0" w:leftChars="0" w:firstLine="480" w:firstLineChars="0"/>
        <w:contextualSpacing/>
        <w:rPr>
          <w:rFonts w:ascii="仿宋" w:hAnsi="仿宋" w:eastAsia="仿宋"/>
          <w:szCs w:val="24"/>
        </w:rPr>
      </w:pPr>
      <w:r>
        <w:rPr>
          <w:rFonts w:hint="eastAsia" w:ascii="仿宋" w:hAnsi="仿宋" w:eastAsia="仿宋"/>
        </w:rPr>
        <w:t>2.4.9.2</w:t>
      </w:r>
      <w:r>
        <w:rPr>
          <w:rFonts w:hint="eastAsia" w:ascii="仿宋" w:hAnsi="仿宋" w:eastAsia="仿宋"/>
          <w:szCs w:val="24"/>
        </w:rPr>
        <w:t>房屋的维修</w:t>
      </w:r>
      <w:bookmarkStart w:id="5" w:name="OLE_LINK17"/>
      <w:bookmarkStart w:id="6" w:name="OLE_LINK19"/>
      <w:bookmarkStart w:id="7" w:name="_Hlk496192271"/>
    </w:p>
    <w:p>
      <w:pPr>
        <w:pStyle w:val="2"/>
        <w:spacing w:after="0" w:line="360" w:lineRule="auto"/>
        <w:ind w:left="0" w:leftChars="0" w:firstLine="480" w:firstLineChars="0"/>
        <w:contextualSpacing/>
        <w:rPr>
          <w:rFonts w:ascii="仿宋" w:hAnsi="仿宋" w:eastAsia="仿宋"/>
          <w:szCs w:val="24"/>
        </w:rPr>
      </w:pPr>
      <w:r>
        <w:rPr>
          <w:rFonts w:ascii="仿宋" w:hAnsi="仿宋" w:eastAsia="仿宋"/>
          <w:szCs w:val="24"/>
        </w:rPr>
        <w:t>2.4.9.2</w:t>
      </w:r>
      <w:r>
        <w:rPr>
          <w:rFonts w:hint="eastAsia" w:ascii="仿宋" w:hAnsi="仿宋" w:eastAsia="仿宋"/>
          <w:szCs w:val="24"/>
        </w:rPr>
        <w:t>.1</w:t>
      </w:r>
      <w:bookmarkEnd w:id="5"/>
      <w:bookmarkEnd w:id="6"/>
      <w:r>
        <w:rPr>
          <w:rFonts w:hint="eastAsia" w:ascii="仿宋" w:hAnsi="仿宋" w:eastAsia="仿宋"/>
          <w:szCs w:val="24"/>
        </w:rPr>
        <w:t>使用期限内，投标人应定期对该公寓进行检查养护，保证该公寓及其附属设施、设备处于正常的可使用和安全的状态。投标人应在检查养护前</w:t>
      </w:r>
      <w:r>
        <w:rPr>
          <w:rFonts w:ascii="仿宋" w:hAnsi="仿宋" w:eastAsia="仿宋"/>
          <w:szCs w:val="24"/>
        </w:rPr>
        <w:t>7</w:t>
      </w:r>
      <w:r>
        <w:rPr>
          <w:rFonts w:hint="eastAsia" w:ascii="仿宋" w:hAnsi="仿宋" w:eastAsia="仿宋"/>
          <w:szCs w:val="24"/>
        </w:rPr>
        <w:t>日通知采购人；检查养护时，投标人应尽量减少对采购人正常使用房屋的影响。</w:t>
      </w:r>
    </w:p>
    <w:p>
      <w:pPr>
        <w:pStyle w:val="21"/>
        <w:spacing w:line="360" w:lineRule="auto"/>
        <w:ind w:firstLine="480"/>
        <w:contextualSpacing/>
        <w:rPr>
          <w:rFonts w:ascii="仿宋" w:hAnsi="仿宋" w:eastAsia="仿宋"/>
          <w:sz w:val="24"/>
          <w:szCs w:val="24"/>
        </w:rPr>
      </w:pPr>
      <w:r>
        <w:rPr>
          <w:rFonts w:ascii="仿宋" w:hAnsi="仿宋" w:eastAsia="仿宋"/>
          <w:sz w:val="24"/>
          <w:szCs w:val="24"/>
        </w:rPr>
        <w:t>2.4.9.2</w:t>
      </w:r>
      <w:r>
        <w:rPr>
          <w:rFonts w:hint="eastAsia" w:ascii="仿宋" w:hAnsi="仿宋" w:eastAsia="仿宋"/>
          <w:sz w:val="24"/>
          <w:szCs w:val="24"/>
        </w:rPr>
        <w:t>.2若因房屋的维修、养护等原因造成该房屋在一段时间内不能使用的，投标人应免费帮助采购人换房。</w:t>
      </w:r>
    </w:p>
    <w:bookmarkEnd w:id="7"/>
    <w:p>
      <w:pPr>
        <w:pStyle w:val="7"/>
        <w:spacing w:line="360" w:lineRule="auto"/>
        <w:ind w:firstLine="482"/>
        <w:rPr>
          <w:rFonts w:ascii="仿宋" w:hAnsi="仿宋" w:eastAsia="仿宋"/>
          <w:bCs/>
        </w:rPr>
      </w:pPr>
    </w:p>
    <w:p>
      <w:pPr>
        <w:widowControl/>
        <w:snapToGrid w:val="0"/>
        <w:spacing w:line="360" w:lineRule="auto"/>
        <w:ind w:firstLine="482" w:firstLineChars="200"/>
        <w:contextualSpacing/>
        <w:rPr>
          <w:rFonts w:ascii="仿宋" w:hAnsi="仿宋" w:eastAsia="仿宋" w:cs="仿宋"/>
          <w:b/>
          <w:sz w:val="24"/>
        </w:rPr>
      </w:pPr>
      <w:r>
        <w:rPr>
          <w:rFonts w:hint="eastAsia" w:ascii="仿宋" w:hAnsi="仿宋" w:eastAsia="仿宋" w:cs="仿宋"/>
          <w:b/>
          <w:sz w:val="24"/>
        </w:rPr>
        <w:t>2.5 需由投标人提供设计方案、解决方案或者组织方案的采购项目，应当说明采购标的的功能、应用场景、目标等基本要求</w:t>
      </w:r>
    </w:p>
    <w:p>
      <w:pPr>
        <w:pStyle w:val="7"/>
        <w:spacing w:line="360" w:lineRule="auto"/>
        <w:rPr>
          <w:color w:val="000000" w:themeColor="text1"/>
          <w14:textFill>
            <w14:solidFill>
              <w14:schemeClr w14:val="tx1"/>
            </w14:solidFill>
          </w14:textFill>
        </w:rPr>
      </w:pPr>
      <w:bookmarkStart w:id="8" w:name="OLE_LINK92"/>
      <w:bookmarkStart w:id="9" w:name="OLE_LINK91"/>
      <w:r>
        <w:rPr>
          <w:rFonts w:hint="eastAsia" w:ascii="仿宋" w:hAnsi="仿宋" w:eastAsia="仿宋"/>
        </w:rPr>
        <w:t>投标人需按照招标文件要求提供</w:t>
      </w:r>
      <w:r>
        <w:rPr>
          <w:rFonts w:hint="eastAsia" w:ascii="仿宋" w:hAnsi="仿宋" w:eastAsia="仿宋"/>
          <w:color w:val="FF0000"/>
        </w:rPr>
        <w:t>服务方案、房屋位置与交通便利性、房屋基本条件、租赁面积、宿舍配套、安全管理与安保措施、保洁与维修服务、应急预案</w:t>
      </w:r>
      <w:r>
        <w:rPr>
          <w:rFonts w:hint="eastAsia" w:ascii="仿宋" w:hAnsi="仿宋" w:eastAsia="仿宋"/>
        </w:rPr>
        <w:t>等</w:t>
      </w:r>
      <w:bookmarkEnd w:id="8"/>
      <w:bookmarkEnd w:id="9"/>
      <w:r>
        <w:rPr>
          <w:rFonts w:hint="eastAsia" w:ascii="仿宋" w:hAnsi="仿宋" w:eastAsia="仿宋"/>
          <w:color w:val="000000" w:themeColor="text1"/>
          <w14:textFill>
            <w14:solidFill>
              <w14:schemeClr w14:val="tx1"/>
            </w14:solidFill>
          </w14:textFill>
        </w:rPr>
        <w:t>。</w:t>
      </w:r>
    </w:p>
    <w:p>
      <w:pPr>
        <w:pStyle w:val="7"/>
      </w:pPr>
    </w:p>
    <w:p>
      <w:pPr>
        <w:spacing w:line="360" w:lineRule="auto"/>
        <w:ind w:firstLine="480"/>
        <w:rPr>
          <w:rFonts w:ascii="仿宋" w:hAnsi="仿宋" w:eastAsia="仿宋" w:cs="Arial"/>
          <w:b/>
          <w:sz w:val="24"/>
        </w:rPr>
      </w:pPr>
      <w:r>
        <w:rPr>
          <w:rFonts w:hint="eastAsia" w:ascii="仿宋" w:hAnsi="仿宋" w:eastAsia="仿宋" w:cs="Arial"/>
          <w:b/>
          <w:sz w:val="24"/>
        </w:rPr>
        <w:t>3.验收标准</w:t>
      </w:r>
    </w:p>
    <w:p>
      <w:pPr>
        <w:pStyle w:val="7"/>
        <w:spacing w:line="360" w:lineRule="auto"/>
        <w:ind w:firstLine="482"/>
        <w:rPr>
          <w:rFonts w:ascii="仿宋" w:hAnsi="仿宋" w:eastAsia="仿宋"/>
          <w:bCs/>
        </w:rPr>
      </w:pPr>
      <w:r>
        <w:rPr>
          <w:rFonts w:hint="eastAsia" w:ascii="仿宋" w:hAnsi="仿宋" w:eastAsia="仿宋"/>
          <w:bCs/>
        </w:rPr>
        <w:t>无。</w:t>
      </w:r>
    </w:p>
    <w:p>
      <w:pPr>
        <w:pStyle w:val="7"/>
        <w:spacing w:line="360" w:lineRule="auto"/>
        <w:ind w:firstLine="482"/>
        <w:rPr>
          <w:rFonts w:ascii="仿宋" w:hAnsi="仿宋" w:eastAsia="仿宋"/>
          <w:bCs/>
        </w:rPr>
        <w:sectPr>
          <w:pgSz w:w="11906" w:h="16838"/>
          <w:pgMar w:top="1440" w:right="1800" w:bottom="1440" w:left="1800" w:header="851" w:footer="992" w:gutter="0"/>
          <w:cols w:space="425" w:num="1"/>
          <w:docGrid w:type="lines" w:linePitch="312" w:charSpace="0"/>
        </w:sectPr>
      </w:pPr>
      <w:bookmarkStart w:id="10" w:name="_GoBack"/>
      <w:bookmarkEnd w:id="10"/>
    </w:p>
    <w:p>
      <w:pPr>
        <w:snapToGrid w:val="0"/>
        <w:spacing w:line="540" w:lineRule="exact"/>
        <w:jc w:val="both"/>
        <w:outlineLvl w:val="0"/>
        <w:rPr>
          <w:rFonts w:hint="default"/>
          <w:b/>
          <w:sz w:val="36"/>
          <w:szCs w:val="36"/>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53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638A7"/>
    <w:rsid w:val="042711E9"/>
    <w:rsid w:val="04B9724B"/>
    <w:rsid w:val="0872092E"/>
    <w:rsid w:val="14A26D8F"/>
    <w:rsid w:val="16545117"/>
    <w:rsid w:val="1726356D"/>
    <w:rsid w:val="394D2B6F"/>
    <w:rsid w:val="3F3E6946"/>
    <w:rsid w:val="3F71347F"/>
    <w:rsid w:val="4B7E2B6C"/>
    <w:rsid w:val="521073DB"/>
    <w:rsid w:val="5D9D153B"/>
    <w:rsid w:val="5E240131"/>
    <w:rsid w:val="685A6F6C"/>
    <w:rsid w:val="6DA01CBF"/>
    <w:rsid w:val="6F4776AE"/>
    <w:rsid w:val="6FF65CE1"/>
    <w:rsid w:val="70F013FA"/>
    <w:rsid w:val="774638A7"/>
    <w:rsid w:val="79A40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ind w:left="11" w:right="125"/>
      <w:jc w:val="center"/>
      <w:outlineLvl w:val="0"/>
    </w:pPr>
    <w:rPr>
      <w:rFonts w:ascii="Times New Roman" w:hAnsi="Times New Roman"/>
      <w:sz w:val="36"/>
      <w:szCs w:val="84"/>
    </w:rPr>
  </w:style>
  <w:style w:type="paragraph" w:styleId="5">
    <w:name w:val="heading 2"/>
    <w:basedOn w:val="1"/>
    <w:next w:val="1"/>
    <w:unhideWhenUsed/>
    <w:qFormat/>
    <w:uiPriority w:val="9"/>
    <w:pPr>
      <w:outlineLvl w:val="1"/>
    </w:pPr>
    <w:rPr>
      <w:rFonts w:ascii="Times New Roman" w:hAnsi="Times New Roman"/>
      <w:b/>
      <w:szCs w:val="52"/>
    </w:rPr>
  </w:style>
  <w:style w:type="paragraph" w:styleId="6">
    <w:name w:val="heading 3"/>
    <w:basedOn w:val="1"/>
    <w:next w:val="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7">
    <w:name w:val="Normal Indent"/>
    <w:basedOn w:val="1"/>
    <w:qFormat/>
    <w:uiPriority w:val="0"/>
    <w:pPr>
      <w:autoSpaceDE w:val="0"/>
      <w:autoSpaceDN w:val="0"/>
      <w:adjustRightInd w:val="0"/>
      <w:ind w:firstLine="420"/>
      <w:jc w:val="left"/>
    </w:pPr>
    <w:rPr>
      <w:rFonts w:ascii="宋体"/>
      <w:sz w:val="24"/>
    </w:rPr>
  </w:style>
  <w:style w:type="paragraph" w:styleId="8">
    <w:name w:val="annotation text"/>
    <w:basedOn w:val="1"/>
    <w:qFormat/>
    <w:uiPriority w:val="99"/>
    <w:pPr>
      <w:jc w:val="left"/>
    </w:pPr>
  </w:style>
  <w:style w:type="paragraph" w:styleId="9">
    <w:name w:val="Body Text"/>
    <w:basedOn w:val="1"/>
    <w:qFormat/>
    <w:uiPriority w:val="99"/>
    <w:pPr>
      <w:tabs>
        <w:tab w:val="left" w:pos="567"/>
      </w:tabs>
      <w:spacing w:before="120" w:line="22" w:lineRule="atLeast"/>
    </w:pPr>
    <w:rPr>
      <w:rFonts w:ascii="宋体" w:hAnsi="宋体"/>
      <w:sz w:val="24"/>
    </w:rPr>
  </w:style>
  <w:style w:type="paragraph" w:styleId="10">
    <w:name w:val="Plain Text"/>
    <w:basedOn w:val="1"/>
    <w:qFormat/>
    <w:uiPriority w:val="0"/>
    <w:rPr>
      <w:rFonts w:hint="eastAsia" w:ascii="宋体" w:hAnsi="Courier New"/>
      <w:szCs w:val="20"/>
    </w:r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39"/>
    <w:pPr>
      <w:tabs>
        <w:tab w:val="right" w:leader="dot" w:pos="8937"/>
      </w:tabs>
      <w:spacing w:line="312" w:lineRule="auto"/>
      <w:ind w:left="420" w:leftChars="200"/>
    </w:p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7">
    <w:name w:val="page number"/>
    <w:qFormat/>
    <w:uiPriority w:val="0"/>
  </w:style>
  <w:style w:type="character" w:styleId="18">
    <w:name w:val="annotation reference"/>
    <w:basedOn w:val="16"/>
    <w:qFormat/>
    <w:uiPriority w:val="99"/>
    <w:rPr>
      <w:sz w:val="21"/>
      <w:szCs w:val="21"/>
    </w:rPr>
  </w:style>
  <w:style w:type="paragraph" w:customStyle="1" w:styleId="19">
    <w:name w:val="SOW正文"/>
    <w:basedOn w:val="1"/>
    <w:qFormat/>
    <w:uiPriority w:val="0"/>
    <w:pPr>
      <w:snapToGrid w:val="0"/>
      <w:spacing w:before="120" w:line="400" w:lineRule="exact"/>
      <w:ind w:firstLine="425"/>
    </w:pPr>
    <w:rPr>
      <w:rFonts w:ascii="Times New Roman" w:hAnsi="Times New Roman"/>
      <w:sz w:val="24"/>
      <w:szCs w:val="20"/>
    </w:rPr>
  </w:style>
  <w:style w:type="paragraph" w:styleId="20">
    <w:name w:val="List Paragraph"/>
    <w:basedOn w:val="1"/>
    <w:qFormat/>
    <w:uiPriority w:val="34"/>
    <w:pPr>
      <w:ind w:firstLine="420" w:firstLineChars="200"/>
    </w:pPr>
    <w:rPr>
      <w:rFonts w:cs="Times New Roman"/>
      <w:szCs w:val="22"/>
    </w:rPr>
  </w:style>
  <w:style w:type="paragraph" w:customStyle="1" w:styleId="21">
    <w:name w:val="列出段落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2">
    <w:name w:val="列出段落1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3">
    <w:name w:val="_Style 269"/>
    <w:basedOn w:val="1"/>
    <w:next w:val="20"/>
    <w:qFormat/>
    <w:uiPriority w:val="34"/>
    <w:pPr>
      <w:autoSpaceDE/>
      <w:autoSpaceDN/>
      <w:spacing w:line="240" w:lineRule="auto"/>
      <w:ind w:firstLine="420" w:firstLineChars="200"/>
      <w:jc w:val="both"/>
    </w:pPr>
    <w:rPr>
      <w:rFonts w:ascii="Calibri" w:hAnsi="Calibri" w:cs="Times New Roman"/>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2024-07-31T00:37:00Z</dcterms:created>
  <dc:creator>张雅希</dc:creator>
  <cp:lastModifiedBy>张雅希</cp:lastModifiedBy>
  <dcterms:modified xsi:type="dcterms:W3CDTF">2026-07-07T02:39:43Z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F2C453F9BA9145D09F394B65CD248215</vt:lpwstr>
  </property>
</Properties>
</file>