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outlineLvl w:val="0"/>
        <w:rPr>
          <w:b/>
          <w:sz w:val="36"/>
          <w:szCs w:val="36"/>
        </w:rPr>
      </w:pPr>
      <w:bookmarkStart w:id="0" w:name="_Toc200123571"/>
      <w:r>
        <w:rPr>
          <w:b/>
          <w:sz w:val="36"/>
          <w:szCs w:val="36"/>
        </w:rPr>
        <w:t>采购需求</w:t>
      </w:r>
      <w:bookmarkEnd w:id="0"/>
    </w:p>
    <w:p>
      <w:pPr>
        <w:spacing w:line="360" w:lineRule="auto"/>
        <w:ind w:firstLine="482"/>
        <w:contextualSpacing/>
        <w:rPr>
          <w:rFonts w:ascii="仿宋" w:hAnsi="仿宋" w:eastAsia="仿宋" w:cs="宋体"/>
          <w:b/>
          <w:bCs/>
          <w:sz w:val="24"/>
        </w:rPr>
      </w:pPr>
      <w:r>
        <w:rPr>
          <w:rFonts w:hint="eastAsia" w:ascii="仿宋" w:hAnsi="仿宋" w:eastAsia="仿宋" w:cs="宋体"/>
          <w:b/>
          <w:bCs/>
          <w:sz w:val="24"/>
        </w:rPr>
        <w:t>1.采购标的</w:t>
      </w:r>
    </w:p>
    <w:tbl>
      <w:tblPr>
        <w:tblStyle w:val="1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4"/>
        <w:gridCol w:w="2954"/>
        <w:gridCol w:w="1480"/>
        <w:gridCol w:w="3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pct"/>
            <w:vAlign w:val="center"/>
          </w:tcPr>
          <w:p>
            <w:pPr>
              <w:spacing w:line="360" w:lineRule="auto"/>
              <w:contextualSpacing/>
              <w:rPr>
                <w:rFonts w:ascii="仿宋" w:hAnsi="仿宋" w:eastAsia="仿宋" w:cs="宋体"/>
                <w:b/>
                <w:bCs/>
                <w:sz w:val="24"/>
              </w:rPr>
            </w:pPr>
            <w:r>
              <w:rPr>
                <w:rFonts w:hint="eastAsia" w:ascii="仿宋" w:hAnsi="仿宋" w:eastAsia="仿宋" w:cs="宋体"/>
                <w:b/>
                <w:bCs/>
                <w:sz w:val="24"/>
              </w:rPr>
              <w:t>包号</w:t>
            </w:r>
          </w:p>
        </w:tc>
        <w:tc>
          <w:tcPr>
            <w:tcW w:w="1733" w:type="pct"/>
            <w:vAlign w:val="center"/>
          </w:tcPr>
          <w:p>
            <w:pPr>
              <w:spacing w:line="360" w:lineRule="auto"/>
              <w:contextualSpacing/>
              <w:jc w:val="center"/>
              <w:rPr>
                <w:rFonts w:ascii="仿宋" w:hAnsi="仿宋" w:eastAsia="仿宋" w:cs="宋体"/>
                <w:b/>
                <w:bCs/>
                <w:sz w:val="24"/>
              </w:rPr>
            </w:pPr>
            <w:r>
              <w:rPr>
                <w:rFonts w:hint="eastAsia" w:ascii="仿宋" w:hAnsi="仿宋" w:eastAsia="仿宋" w:cs="宋体"/>
                <w:b/>
                <w:bCs/>
                <w:sz w:val="24"/>
              </w:rPr>
              <w:t>标的名称</w:t>
            </w:r>
          </w:p>
        </w:tc>
        <w:tc>
          <w:tcPr>
            <w:tcW w:w="868" w:type="pct"/>
            <w:vAlign w:val="center"/>
          </w:tcPr>
          <w:p>
            <w:pPr>
              <w:spacing w:line="360" w:lineRule="auto"/>
              <w:contextualSpacing/>
              <w:jc w:val="center"/>
              <w:rPr>
                <w:rFonts w:ascii="仿宋" w:hAnsi="仿宋" w:eastAsia="仿宋" w:cs="宋体"/>
                <w:b/>
                <w:bCs/>
                <w:sz w:val="24"/>
              </w:rPr>
            </w:pPr>
            <w:r>
              <w:rPr>
                <w:rFonts w:hint="eastAsia" w:ascii="仿宋" w:hAnsi="仿宋" w:eastAsia="仿宋" w:cs="宋体"/>
                <w:b/>
                <w:bCs/>
                <w:sz w:val="24"/>
              </w:rPr>
              <w:t>数量</w:t>
            </w:r>
          </w:p>
        </w:tc>
        <w:tc>
          <w:tcPr>
            <w:tcW w:w="1862" w:type="pct"/>
            <w:vAlign w:val="center"/>
          </w:tcPr>
          <w:p>
            <w:pPr>
              <w:spacing w:line="360" w:lineRule="auto"/>
              <w:contextualSpacing/>
              <w:jc w:val="center"/>
              <w:rPr>
                <w:rFonts w:ascii="仿宋" w:hAnsi="仿宋" w:eastAsia="仿宋" w:cs="宋体"/>
                <w:b/>
                <w:bCs/>
                <w:sz w:val="24"/>
              </w:rPr>
            </w:pPr>
            <w:r>
              <w:rPr>
                <w:rFonts w:hint="eastAsia" w:ascii="仿宋" w:hAnsi="仿宋" w:eastAsia="仿宋" w:cs="宋体"/>
                <w:b/>
                <w:bCs/>
                <w:sz w:val="24"/>
              </w:rPr>
              <w:t>是否接受进口产品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pct"/>
            <w:vAlign w:val="center"/>
          </w:tcPr>
          <w:p>
            <w:pPr>
              <w:spacing w:line="360" w:lineRule="auto"/>
              <w:contextualSpacing/>
              <w:jc w:val="center"/>
              <w:rPr>
                <w:rFonts w:ascii="仿宋" w:hAnsi="仿宋" w:eastAsia="仿宋" w:cs="宋体"/>
                <w:bCs/>
                <w:sz w:val="24"/>
              </w:rPr>
            </w:pPr>
            <w:r>
              <w:rPr>
                <w:rFonts w:hint="eastAsia" w:ascii="仿宋" w:hAnsi="仿宋" w:eastAsia="仿宋" w:cs="宋体"/>
                <w:bCs/>
                <w:sz w:val="24"/>
              </w:rPr>
              <w:t>1</w:t>
            </w:r>
          </w:p>
        </w:tc>
        <w:tc>
          <w:tcPr>
            <w:tcW w:w="1733" w:type="pct"/>
            <w:vAlign w:val="center"/>
          </w:tcPr>
          <w:p>
            <w:pPr>
              <w:spacing w:line="360" w:lineRule="auto"/>
              <w:contextualSpacing/>
              <w:jc w:val="center"/>
              <w:rPr>
                <w:rFonts w:ascii="仿宋" w:hAnsi="仿宋" w:eastAsia="仿宋" w:cs="宋体"/>
                <w:bCs/>
                <w:sz w:val="24"/>
              </w:rPr>
            </w:pPr>
            <w:r>
              <w:rPr>
                <w:rFonts w:hint="eastAsia" w:ascii="仿宋" w:hAnsi="仿宋" w:eastAsia="仿宋" w:cs="仿宋"/>
                <w:kern w:val="0"/>
                <w:szCs w:val="21"/>
                <w:lang w:bidi="ar"/>
              </w:rPr>
              <w:t>2026年职工体检服务项目</w:t>
            </w:r>
          </w:p>
        </w:tc>
        <w:tc>
          <w:tcPr>
            <w:tcW w:w="868" w:type="pct"/>
            <w:vAlign w:val="center"/>
          </w:tcPr>
          <w:p>
            <w:pPr>
              <w:spacing w:line="360" w:lineRule="auto"/>
              <w:contextualSpacing/>
              <w:jc w:val="center"/>
              <w:rPr>
                <w:rFonts w:ascii="仿宋" w:hAnsi="仿宋" w:eastAsia="仿宋" w:cs="宋体"/>
                <w:bCs/>
                <w:sz w:val="24"/>
              </w:rPr>
            </w:pPr>
            <w:r>
              <w:rPr>
                <w:rFonts w:hint="eastAsia" w:ascii="仿宋" w:hAnsi="仿宋" w:eastAsia="仿宋" w:cs="宋体"/>
                <w:bCs/>
                <w:sz w:val="24"/>
              </w:rPr>
              <w:t>1项</w:t>
            </w:r>
          </w:p>
        </w:tc>
        <w:tc>
          <w:tcPr>
            <w:tcW w:w="1862" w:type="pct"/>
            <w:vAlign w:val="center"/>
          </w:tcPr>
          <w:p>
            <w:pPr>
              <w:spacing w:line="360" w:lineRule="auto"/>
              <w:contextualSpacing/>
              <w:jc w:val="center"/>
              <w:rPr>
                <w:rFonts w:ascii="仿宋" w:hAnsi="仿宋" w:eastAsia="仿宋" w:cs="宋体"/>
                <w:bCs/>
                <w:sz w:val="24"/>
              </w:rPr>
            </w:pPr>
            <w:r>
              <w:rPr>
                <w:rFonts w:hint="eastAsia" w:ascii="仿宋" w:hAnsi="仿宋" w:eastAsia="仿宋" w:cs="宋体"/>
                <w:bCs/>
                <w:sz w:val="24"/>
              </w:rPr>
              <w:t>否</w:t>
            </w:r>
          </w:p>
        </w:tc>
      </w:tr>
    </w:tbl>
    <w:p>
      <w:pPr>
        <w:spacing w:line="360" w:lineRule="auto"/>
        <w:ind w:firstLine="482"/>
        <w:contextualSpacing/>
        <w:rPr>
          <w:rFonts w:ascii="仿宋" w:hAnsi="仿宋" w:eastAsia="仿宋" w:cs="宋体"/>
          <w:b/>
          <w:bCs/>
          <w:sz w:val="24"/>
        </w:rPr>
      </w:pPr>
      <w:r>
        <w:rPr>
          <w:rFonts w:hint="eastAsia" w:ascii="仿宋" w:hAnsi="仿宋" w:eastAsia="仿宋" w:cs="宋体"/>
          <w:b/>
          <w:bCs/>
          <w:sz w:val="24"/>
        </w:rPr>
        <w:t>2.项目背景/项目概述</w:t>
      </w:r>
    </w:p>
    <w:p>
      <w:pPr>
        <w:spacing w:line="360" w:lineRule="auto"/>
        <w:ind w:firstLine="480"/>
        <w:rPr>
          <w:rFonts w:ascii="仿宋" w:hAnsi="仿宋" w:eastAsia="仿宋" w:cs="宋体"/>
          <w:sz w:val="24"/>
        </w:rPr>
      </w:pPr>
      <w:bookmarkStart w:id="1" w:name="OLE_LINK15"/>
      <w:bookmarkStart w:id="2" w:name="OLE_LINK16"/>
      <w:r>
        <w:rPr>
          <w:rFonts w:hint="eastAsia" w:ascii="仿宋" w:hAnsi="仿宋" w:eastAsia="仿宋"/>
          <w:sz w:val="24"/>
        </w:rPr>
        <w:t>本次招标采购是为首都医科大学附属首都儿童医学中心采购职工体检服务，投标人应根据招标文件所提出的技术规格和服务要求，综合考虑设备的适用性，选择需要最佳性能价格比的设备前来投标。投标人应以技术先进的设备、优良的服务和优惠的价格，充分显示自己的竞争实力。</w:t>
      </w:r>
      <w:bookmarkEnd w:id="1"/>
      <w:bookmarkEnd w:id="2"/>
    </w:p>
    <w:p>
      <w:pPr>
        <w:numPr>
          <w:ilvl w:val="0"/>
          <w:numId w:val="1"/>
        </w:numPr>
        <w:spacing w:line="360" w:lineRule="auto"/>
        <w:ind w:firstLine="482" w:firstLineChars="200"/>
        <w:contextualSpacing/>
        <w:jc w:val="left"/>
        <w:rPr>
          <w:rFonts w:ascii="仿宋" w:hAnsi="仿宋" w:eastAsia="仿宋" w:cs="宋体"/>
          <w:b/>
          <w:sz w:val="24"/>
        </w:rPr>
      </w:pPr>
      <w:r>
        <w:rPr>
          <w:rFonts w:hint="eastAsia" w:ascii="仿宋" w:hAnsi="仿宋" w:eastAsia="仿宋" w:cs="宋体"/>
          <w:b/>
          <w:sz w:val="24"/>
        </w:rPr>
        <w:t>商务要求</w:t>
      </w:r>
    </w:p>
    <w:p>
      <w:pPr>
        <w:spacing w:line="360" w:lineRule="auto"/>
        <w:ind w:firstLine="482"/>
        <w:contextualSpacing/>
        <w:rPr>
          <w:rFonts w:ascii="仿宋" w:hAnsi="仿宋" w:eastAsia="仿宋" w:cs="宋体"/>
          <w:b/>
          <w:sz w:val="24"/>
        </w:rPr>
      </w:pPr>
      <w:r>
        <w:rPr>
          <w:rFonts w:hint="eastAsia" w:ascii="仿宋" w:hAnsi="仿宋" w:eastAsia="仿宋" w:cs="宋体"/>
          <w:b/>
          <w:sz w:val="24"/>
        </w:rPr>
        <w:t>1. 交付（实施）的时间（期限）和地点（范围）</w:t>
      </w:r>
    </w:p>
    <w:p>
      <w:pPr>
        <w:spacing w:line="360" w:lineRule="auto"/>
        <w:ind w:firstLine="480"/>
        <w:rPr>
          <w:rFonts w:ascii="仿宋" w:hAnsi="仿宋" w:eastAsia="仿宋" w:cs="宋体"/>
          <w:sz w:val="24"/>
        </w:rPr>
      </w:pPr>
      <w:r>
        <w:rPr>
          <w:rFonts w:hint="eastAsia" w:ascii="仿宋" w:hAnsi="仿宋" w:eastAsia="仿宋" w:cs="宋体"/>
          <w:sz w:val="24"/>
        </w:rPr>
        <w:t>服务期限：</w:t>
      </w:r>
      <w:bookmarkStart w:id="3" w:name="OLE_LINK18"/>
      <w:r>
        <w:rPr>
          <w:rFonts w:hint="eastAsia" w:ascii="仿宋" w:hAnsi="仿宋" w:eastAsia="仿宋"/>
          <w:sz w:val="24"/>
        </w:rPr>
        <w:t>自签订合同之日起3年，合同一年一签。</w:t>
      </w:r>
      <w:bookmarkEnd w:id="3"/>
    </w:p>
    <w:p>
      <w:pPr>
        <w:spacing w:line="360" w:lineRule="auto"/>
        <w:ind w:firstLine="480"/>
        <w:rPr>
          <w:rFonts w:ascii="仿宋" w:hAnsi="仿宋" w:eastAsia="仿宋" w:cs="宋体"/>
          <w:sz w:val="24"/>
        </w:rPr>
      </w:pPr>
      <w:r>
        <w:rPr>
          <w:rFonts w:hint="eastAsia" w:ascii="仿宋" w:hAnsi="仿宋" w:eastAsia="仿宋" w:cs="宋体"/>
          <w:sz w:val="24"/>
        </w:rPr>
        <w:t>服务地点：</w:t>
      </w:r>
      <w:r>
        <w:rPr>
          <w:rFonts w:hint="eastAsia" w:ascii="仿宋" w:hAnsi="仿宋" w:eastAsia="仿宋"/>
          <w:sz w:val="24"/>
        </w:rPr>
        <w:t>首都医科大学附属首都儿童医学中心指定地点。</w:t>
      </w:r>
    </w:p>
    <w:p>
      <w:pPr>
        <w:spacing w:line="360" w:lineRule="auto"/>
        <w:ind w:firstLine="482"/>
        <w:contextualSpacing/>
        <w:rPr>
          <w:rFonts w:ascii="仿宋" w:hAnsi="仿宋" w:eastAsia="仿宋" w:cs="宋体"/>
          <w:b/>
          <w:sz w:val="24"/>
        </w:rPr>
      </w:pPr>
      <w:r>
        <w:rPr>
          <w:rFonts w:hint="eastAsia" w:ascii="仿宋" w:hAnsi="仿宋" w:eastAsia="仿宋" w:cs="宋体"/>
          <w:b/>
          <w:sz w:val="24"/>
        </w:rPr>
        <w:t>2. 付款条件（进度和方式）</w:t>
      </w:r>
    </w:p>
    <w:p>
      <w:pPr>
        <w:spacing w:line="360" w:lineRule="auto"/>
        <w:ind w:firstLine="480"/>
        <w:rPr>
          <w:rFonts w:ascii="仿宋" w:hAnsi="仿宋" w:eastAsia="仿宋"/>
          <w:sz w:val="24"/>
        </w:rPr>
      </w:pPr>
      <w:r>
        <w:rPr>
          <w:rFonts w:hint="eastAsia" w:ascii="仿宋" w:hAnsi="仿宋" w:eastAsia="仿宋"/>
          <w:sz w:val="24"/>
        </w:rPr>
        <w:t>参照拟签订的合同文本中的付款方式及进度执行。</w:t>
      </w:r>
    </w:p>
    <w:p>
      <w:pPr>
        <w:spacing w:line="360" w:lineRule="auto"/>
        <w:ind w:firstLine="482"/>
        <w:rPr>
          <w:rFonts w:ascii="仿宋" w:hAnsi="仿宋" w:eastAsia="仿宋" w:cs="宋体"/>
          <w:b/>
          <w:sz w:val="24"/>
        </w:rPr>
      </w:pPr>
      <w:r>
        <w:rPr>
          <w:rFonts w:hint="eastAsia" w:ascii="仿宋" w:hAnsi="仿宋" w:eastAsia="仿宋" w:cs="宋体"/>
          <w:b/>
          <w:sz w:val="24"/>
        </w:rPr>
        <w:t>3.</w:t>
      </w:r>
      <w:r>
        <w:rPr>
          <w:rFonts w:ascii="仿宋" w:hAnsi="仿宋" w:eastAsia="仿宋" w:cs="宋体"/>
          <w:b/>
          <w:sz w:val="24"/>
        </w:rPr>
        <w:t>包装和运输</w:t>
      </w:r>
    </w:p>
    <w:p>
      <w:pPr>
        <w:spacing w:line="360" w:lineRule="auto"/>
        <w:ind w:firstLine="480"/>
        <w:rPr>
          <w:rFonts w:ascii="仿宋" w:hAnsi="仿宋" w:eastAsia="仿宋"/>
          <w:sz w:val="24"/>
        </w:rPr>
      </w:pPr>
      <w:r>
        <w:rPr>
          <w:rFonts w:hint="eastAsia" w:ascii="仿宋" w:hAnsi="仿宋" w:eastAsia="仿宋"/>
          <w:sz w:val="24"/>
        </w:rPr>
        <w:t>无。</w:t>
      </w:r>
    </w:p>
    <w:p>
      <w:pPr>
        <w:spacing w:line="360" w:lineRule="auto"/>
        <w:ind w:firstLine="482"/>
        <w:rPr>
          <w:rFonts w:ascii="仿宋" w:hAnsi="仿宋" w:eastAsia="仿宋"/>
          <w:sz w:val="24"/>
        </w:rPr>
      </w:pPr>
      <w:r>
        <w:rPr>
          <w:rFonts w:hint="eastAsia" w:ascii="仿宋" w:hAnsi="仿宋" w:eastAsia="仿宋" w:cs="宋体"/>
          <w:b/>
          <w:sz w:val="24"/>
        </w:rPr>
        <w:t>4.</w:t>
      </w:r>
      <w:r>
        <w:rPr>
          <w:rFonts w:ascii="仿宋" w:hAnsi="仿宋" w:eastAsia="仿宋" w:cs="宋体"/>
          <w:b/>
          <w:sz w:val="24"/>
        </w:rPr>
        <w:t>售后服务（质保期）（如适用）</w:t>
      </w:r>
    </w:p>
    <w:p>
      <w:pPr>
        <w:spacing w:line="360" w:lineRule="auto"/>
        <w:ind w:firstLine="480"/>
        <w:rPr>
          <w:rFonts w:ascii="仿宋" w:hAnsi="仿宋" w:eastAsia="仿宋"/>
          <w:sz w:val="24"/>
        </w:rPr>
      </w:pPr>
      <w:r>
        <w:rPr>
          <w:rFonts w:hint="eastAsia" w:ascii="仿宋" w:hAnsi="仿宋" w:eastAsia="仿宋"/>
          <w:sz w:val="24"/>
        </w:rPr>
        <w:t>无。</w:t>
      </w:r>
    </w:p>
    <w:p>
      <w:pPr>
        <w:spacing w:line="360" w:lineRule="auto"/>
        <w:ind w:firstLine="482"/>
        <w:rPr>
          <w:rFonts w:ascii="仿宋" w:hAnsi="仿宋" w:eastAsia="仿宋" w:cs="宋体"/>
          <w:sz w:val="24"/>
        </w:rPr>
      </w:pPr>
      <w:r>
        <w:rPr>
          <w:rFonts w:hint="eastAsia" w:ascii="仿宋" w:hAnsi="仿宋" w:eastAsia="仿宋" w:cs="宋体"/>
          <w:b/>
          <w:sz w:val="24"/>
        </w:rPr>
        <w:t>5.</w:t>
      </w:r>
      <w:r>
        <w:rPr>
          <w:rFonts w:ascii="仿宋" w:hAnsi="仿宋" w:eastAsia="仿宋" w:cs="宋体"/>
          <w:b/>
          <w:sz w:val="24"/>
        </w:rPr>
        <w:t>保险（</w:t>
      </w:r>
      <w:r>
        <w:rPr>
          <w:rFonts w:hint="eastAsia" w:ascii="仿宋" w:hAnsi="仿宋" w:eastAsia="仿宋" w:cs="宋体"/>
          <w:b/>
          <w:sz w:val="24"/>
        </w:rPr>
        <w:t>不</w:t>
      </w:r>
      <w:r>
        <w:rPr>
          <w:rFonts w:ascii="仿宋" w:hAnsi="仿宋" w:eastAsia="仿宋" w:cs="宋体"/>
          <w:b/>
          <w:sz w:val="24"/>
        </w:rPr>
        <w:t>适用）</w:t>
      </w:r>
    </w:p>
    <w:p>
      <w:pPr>
        <w:spacing w:line="360" w:lineRule="auto"/>
        <w:ind w:firstLine="480"/>
        <w:rPr>
          <w:rFonts w:ascii="仿宋" w:hAnsi="仿宋" w:eastAsia="仿宋"/>
          <w:sz w:val="24"/>
        </w:rPr>
      </w:pPr>
      <w:r>
        <w:rPr>
          <w:rFonts w:hint="eastAsia" w:ascii="仿宋" w:hAnsi="仿宋" w:eastAsia="仿宋"/>
          <w:sz w:val="24"/>
        </w:rPr>
        <w:t>无。</w:t>
      </w:r>
    </w:p>
    <w:p>
      <w:pPr>
        <w:numPr>
          <w:ilvl w:val="0"/>
          <w:numId w:val="1"/>
        </w:numPr>
        <w:spacing w:line="360" w:lineRule="auto"/>
        <w:ind w:firstLine="482" w:firstLineChars="200"/>
        <w:contextualSpacing/>
        <w:jc w:val="left"/>
        <w:rPr>
          <w:rFonts w:ascii="仿宋" w:hAnsi="仿宋" w:eastAsia="仿宋" w:cs="宋体"/>
          <w:b/>
          <w:sz w:val="24"/>
        </w:rPr>
      </w:pPr>
      <w:r>
        <w:rPr>
          <w:rFonts w:hint="eastAsia" w:ascii="仿宋" w:hAnsi="仿宋" w:eastAsia="仿宋" w:cs="宋体"/>
          <w:b/>
          <w:sz w:val="24"/>
        </w:rPr>
        <w:t>技术要求</w:t>
      </w:r>
    </w:p>
    <w:p>
      <w:pPr>
        <w:spacing w:line="360" w:lineRule="auto"/>
        <w:ind w:firstLine="503"/>
        <w:rPr>
          <w:rFonts w:ascii="仿宋" w:hAnsi="仿宋" w:eastAsia="仿宋"/>
          <w:b/>
          <w:sz w:val="24"/>
        </w:rPr>
      </w:pPr>
      <w:r>
        <w:rPr>
          <w:rFonts w:ascii="仿宋" w:hAnsi="仿宋" w:eastAsia="仿宋" w:cs="Arial"/>
          <w:b/>
          <w:w w:val="105"/>
          <w:sz w:val="24"/>
        </w:rPr>
        <w:t>1.</w:t>
      </w:r>
      <w:r>
        <w:rPr>
          <w:rFonts w:ascii="仿宋" w:hAnsi="仿宋" w:eastAsia="仿宋"/>
          <w:b/>
          <w:w w:val="105"/>
          <w:sz w:val="24"/>
        </w:rPr>
        <w:t>基本要求</w:t>
      </w:r>
    </w:p>
    <w:p>
      <w:pPr>
        <w:spacing w:line="360" w:lineRule="auto"/>
        <w:ind w:firstLine="480"/>
        <w:rPr>
          <w:rFonts w:ascii="仿宋" w:hAnsi="仿宋" w:eastAsia="仿宋"/>
          <w:b/>
          <w:sz w:val="24"/>
        </w:rPr>
      </w:pPr>
      <w:r>
        <w:rPr>
          <w:rFonts w:ascii="仿宋" w:hAnsi="仿宋" w:eastAsia="仿宋" w:cs="Arial"/>
          <w:b/>
          <w:sz w:val="24"/>
        </w:rPr>
        <w:t>1.1</w:t>
      </w:r>
      <w:r>
        <w:rPr>
          <w:rFonts w:ascii="仿宋" w:hAnsi="仿宋" w:eastAsia="仿宋"/>
          <w:b/>
          <w:sz w:val="24"/>
        </w:rPr>
        <w:t>采购标的需实现的功能或者目标</w:t>
      </w:r>
      <w:r>
        <w:rPr>
          <w:rFonts w:hint="eastAsia" w:ascii="仿宋" w:hAnsi="仿宋" w:eastAsia="仿宋"/>
          <w:b/>
          <w:sz w:val="24"/>
        </w:rPr>
        <w:t>。</w:t>
      </w:r>
    </w:p>
    <w:p>
      <w:pPr>
        <w:spacing w:line="360" w:lineRule="auto"/>
        <w:ind w:firstLine="482"/>
        <w:contextualSpacing/>
        <w:rPr>
          <w:rFonts w:ascii="仿宋" w:hAnsi="仿宋" w:eastAsia="仿宋"/>
          <w:sz w:val="24"/>
        </w:rPr>
      </w:pPr>
      <w:bookmarkStart w:id="4" w:name="OLE_LINK54"/>
      <w:bookmarkStart w:id="5" w:name="OLE_LINK53"/>
      <w:r>
        <w:rPr>
          <w:rFonts w:hint="eastAsia" w:ascii="仿宋" w:hAnsi="仿宋" w:eastAsia="仿宋"/>
          <w:sz w:val="24"/>
        </w:rPr>
        <w:t>本次招标采购是</w:t>
      </w:r>
      <w:r>
        <w:rPr>
          <w:rFonts w:hint="eastAsia" w:ascii="仿宋" w:hAnsi="仿宋" w:eastAsia="仿宋" w:cs="仿宋"/>
          <w:kern w:val="0"/>
          <w:sz w:val="24"/>
          <w:lang w:bidi="ar"/>
        </w:rPr>
        <w:t>2026年职工体检服务项目</w:t>
      </w:r>
      <w:r>
        <w:rPr>
          <w:rFonts w:hint="eastAsia" w:ascii="仿宋" w:hAnsi="仿宋" w:eastAsia="仿宋"/>
          <w:sz w:val="24"/>
        </w:rPr>
        <w:t>，投标人应根据招标文件所提出的技术规格和服务要求，综合考虑前来投标。投标人应以技术先进的设备、优良的服务和优惠的价格，充分显示自己的竞争实力。</w:t>
      </w:r>
      <w:bookmarkEnd w:id="4"/>
      <w:bookmarkEnd w:id="5"/>
    </w:p>
    <w:p>
      <w:pPr>
        <w:spacing w:line="360" w:lineRule="auto"/>
        <w:ind w:firstLine="482"/>
        <w:contextualSpacing/>
        <w:rPr>
          <w:rFonts w:ascii="仿宋" w:hAnsi="仿宋" w:eastAsia="仿宋"/>
          <w:b/>
          <w:sz w:val="24"/>
        </w:rPr>
      </w:pPr>
      <w:r>
        <w:rPr>
          <w:rFonts w:ascii="仿宋" w:hAnsi="仿宋" w:eastAsia="仿宋" w:cs="Arial"/>
          <w:b/>
          <w:sz w:val="24"/>
        </w:rPr>
        <w:t>1.2</w:t>
      </w:r>
      <w:r>
        <w:rPr>
          <w:rFonts w:ascii="仿宋" w:hAnsi="仿宋" w:eastAsia="仿宋"/>
          <w:b/>
          <w:sz w:val="24"/>
        </w:rPr>
        <w:t>需执行的国家相关标准、行业标准、地方标准或者其他标准、规范</w:t>
      </w:r>
    </w:p>
    <w:p>
      <w:pPr>
        <w:spacing w:line="360" w:lineRule="auto"/>
        <w:ind w:firstLine="482"/>
        <w:contextualSpacing/>
        <w:rPr>
          <w:rFonts w:ascii="仿宋" w:hAnsi="仿宋" w:eastAsia="仿宋" w:cs="宋体"/>
          <w:bCs/>
          <w:sz w:val="24"/>
        </w:rPr>
      </w:pPr>
      <w:r>
        <w:rPr>
          <w:rFonts w:hint="eastAsia" w:ascii="仿宋" w:hAnsi="仿宋" w:eastAsia="仿宋" w:cs="Arial"/>
          <w:bCs/>
          <w:sz w:val="24"/>
        </w:rPr>
        <w:t>需执行的国家相关标准、行业标准、地方标准或者其他标准、规范。符合已颁布的现行中华人民共和国认可的国家标准、地方标准和行业标准。如果这些标准内容有矛盾时，应按最高标准的条款执行。</w:t>
      </w:r>
    </w:p>
    <w:p>
      <w:pPr>
        <w:spacing w:line="360" w:lineRule="auto"/>
        <w:ind w:firstLine="480"/>
        <w:rPr>
          <w:rFonts w:ascii="仿宋" w:hAnsi="仿宋" w:eastAsia="仿宋"/>
          <w:b/>
          <w:sz w:val="24"/>
        </w:rPr>
      </w:pPr>
      <w:r>
        <w:rPr>
          <w:rFonts w:ascii="仿宋" w:hAnsi="仿宋" w:eastAsia="仿宋" w:cs="Arial"/>
          <w:b/>
          <w:sz w:val="24"/>
        </w:rPr>
        <w:t>2.</w:t>
      </w:r>
      <w:r>
        <w:rPr>
          <w:rFonts w:ascii="仿宋" w:hAnsi="仿宋" w:eastAsia="仿宋"/>
          <w:b/>
          <w:sz w:val="24"/>
        </w:rPr>
        <w:t>服务内容及要求</w:t>
      </w:r>
      <w:r>
        <w:rPr>
          <w:rFonts w:ascii="仿宋" w:hAnsi="仿宋" w:eastAsia="仿宋" w:cs="Arial"/>
          <w:b/>
          <w:sz w:val="24"/>
        </w:rPr>
        <w:t>/</w:t>
      </w:r>
      <w:r>
        <w:rPr>
          <w:rFonts w:ascii="仿宋" w:hAnsi="仿宋" w:eastAsia="仿宋"/>
          <w:b/>
          <w:sz w:val="24"/>
        </w:rPr>
        <w:t>货物技术要求</w:t>
      </w:r>
    </w:p>
    <w:p>
      <w:pPr>
        <w:spacing w:line="360" w:lineRule="auto"/>
        <w:ind w:firstLine="480"/>
        <w:rPr>
          <w:rFonts w:ascii="仿宋" w:hAnsi="仿宋" w:eastAsia="仿宋"/>
          <w:b/>
          <w:sz w:val="24"/>
        </w:rPr>
      </w:pPr>
      <w:r>
        <w:rPr>
          <w:rFonts w:ascii="仿宋" w:hAnsi="仿宋" w:eastAsia="仿宋" w:cs="Arial"/>
          <w:b/>
          <w:sz w:val="24"/>
        </w:rPr>
        <w:t>2.1</w:t>
      </w:r>
      <w:r>
        <w:rPr>
          <w:rFonts w:ascii="仿宋" w:hAnsi="仿宋" w:eastAsia="仿宋"/>
          <w:b/>
          <w:sz w:val="24"/>
        </w:rPr>
        <w:t>采购标的需满足的性能、材料、结构、外观、质量、安全、技术规格、物理特性等要求</w:t>
      </w:r>
      <w:r>
        <w:rPr>
          <w:rFonts w:hint="eastAsia" w:ascii="仿宋" w:hAnsi="仿宋" w:eastAsia="仿宋"/>
          <w:b/>
          <w:sz w:val="24"/>
        </w:rPr>
        <w:t>。</w:t>
      </w:r>
    </w:p>
    <w:p>
      <w:pPr>
        <w:spacing w:line="360" w:lineRule="auto"/>
        <w:ind w:firstLine="480"/>
        <w:rPr>
          <w:rFonts w:ascii="仿宋" w:hAnsi="仿宋" w:eastAsia="仿宋"/>
          <w:sz w:val="24"/>
        </w:rPr>
      </w:pPr>
      <w:r>
        <w:rPr>
          <w:rFonts w:ascii="仿宋" w:hAnsi="仿宋" w:eastAsia="仿宋"/>
          <w:sz w:val="24"/>
        </w:rPr>
        <w:t>无。</w:t>
      </w:r>
    </w:p>
    <w:p>
      <w:pPr>
        <w:spacing w:line="360" w:lineRule="auto"/>
        <w:ind w:firstLine="480"/>
        <w:rPr>
          <w:rFonts w:ascii="仿宋" w:hAnsi="仿宋" w:eastAsia="仿宋"/>
          <w:b/>
          <w:sz w:val="24"/>
        </w:rPr>
      </w:pPr>
      <w:r>
        <w:rPr>
          <w:rFonts w:ascii="仿宋" w:hAnsi="仿宋" w:eastAsia="仿宋" w:cs="Arial"/>
          <w:b/>
          <w:sz w:val="24"/>
        </w:rPr>
        <w:t>2.2</w:t>
      </w:r>
      <w:r>
        <w:rPr>
          <w:rFonts w:ascii="仿宋" w:hAnsi="仿宋" w:eastAsia="仿宋"/>
          <w:b/>
          <w:sz w:val="24"/>
        </w:rPr>
        <w:t>采购标的需满足的服务标准、期限、效率等要求</w:t>
      </w:r>
    </w:p>
    <w:p>
      <w:pPr>
        <w:spacing w:line="360" w:lineRule="auto"/>
        <w:ind w:firstLine="480"/>
        <w:rPr>
          <w:rFonts w:ascii="仿宋" w:hAnsi="仿宋" w:eastAsia="仿宋"/>
          <w:sz w:val="24"/>
        </w:rPr>
      </w:pPr>
      <w:r>
        <w:rPr>
          <w:rFonts w:hint="eastAsia" w:ascii="仿宋" w:hAnsi="仿宋" w:eastAsia="仿宋"/>
          <w:sz w:val="24"/>
        </w:rPr>
        <w:t>服务期限：自签订合同之日起3年，合同一年一签。</w:t>
      </w:r>
    </w:p>
    <w:p>
      <w:pPr>
        <w:spacing w:line="360" w:lineRule="auto"/>
        <w:ind w:firstLine="480"/>
        <w:rPr>
          <w:rFonts w:ascii="仿宋" w:hAnsi="仿宋" w:eastAsia="仿宋"/>
          <w:b/>
          <w:sz w:val="24"/>
        </w:rPr>
      </w:pPr>
      <w:r>
        <w:rPr>
          <w:rFonts w:ascii="仿宋" w:hAnsi="仿宋" w:eastAsia="仿宋" w:cs="Arial"/>
          <w:b/>
          <w:sz w:val="24"/>
        </w:rPr>
        <w:t>2.3</w:t>
      </w:r>
      <w:r>
        <w:rPr>
          <w:rFonts w:ascii="仿宋" w:hAnsi="仿宋" w:eastAsia="仿宋"/>
          <w:b/>
          <w:sz w:val="24"/>
        </w:rPr>
        <w:t>为落实政府采购政策需满足的要求</w:t>
      </w:r>
    </w:p>
    <w:p>
      <w:pPr>
        <w:spacing w:line="360" w:lineRule="auto"/>
        <w:ind w:firstLine="480"/>
        <w:rPr>
          <w:rFonts w:ascii="仿宋" w:hAnsi="仿宋" w:eastAsia="仿宋" w:cs="宋体"/>
          <w:sz w:val="24"/>
        </w:rPr>
      </w:pPr>
      <w:r>
        <w:rPr>
          <w:rFonts w:hint="eastAsia" w:ascii="仿宋" w:hAnsi="仿宋" w:eastAsia="仿宋" w:cs="宋体"/>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spacing w:line="360" w:lineRule="auto"/>
        <w:ind w:firstLine="480"/>
        <w:rPr>
          <w:rFonts w:ascii="仿宋" w:hAnsi="仿宋" w:eastAsia="仿宋" w:cs="宋体"/>
          <w:sz w:val="24"/>
        </w:rPr>
      </w:pPr>
      <w:r>
        <w:rPr>
          <w:rFonts w:hint="eastAsia" w:ascii="仿宋" w:hAnsi="仿宋" w:eastAsia="仿宋" w:cs="宋体"/>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spacing w:line="360" w:lineRule="auto"/>
        <w:ind w:firstLine="480"/>
        <w:rPr>
          <w:rFonts w:ascii="仿宋" w:hAnsi="仿宋" w:eastAsia="仿宋" w:cs="宋体"/>
          <w:sz w:val="24"/>
        </w:rPr>
      </w:pPr>
      <w:r>
        <w:rPr>
          <w:rFonts w:hint="eastAsia" w:ascii="仿宋" w:hAnsi="仿宋" w:eastAsia="仿宋" w:cs="宋体"/>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pPr>
        <w:spacing w:line="360" w:lineRule="auto"/>
        <w:ind w:firstLine="480"/>
        <w:rPr>
          <w:rFonts w:ascii="仿宋" w:hAnsi="仿宋" w:eastAsia="仿宋" w:cs="宋体"/>
          <w:sz w:val="24"/>
        </w:rPr>
      </w:pPr>
      <w:r>
        <w:rPr>
          <w:rFonts w:hint="eastAsia" w:ascii="仿宋" w:hAnsi="仿宋" w:eastAsia="仿宋" w:cs="宋体"/>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pPr>
        <w:pStyle w:val="7"/>
        <w:spacing w:line="360" w:lineRule="auto"/>
        <w:ind w:firstLine="480"/>
        <w:rPr>
          <w:rFonts w:ascii="仿宋" w:hAnsi="仿宋" w:eastAsia="仿宋"/>
        </w:rPr>
      </w:pPr>
      <w:r>
        <w:rPr>
          <w:rFonts w:hint="eastAsia" w:ascii="仿宋" w:hAnsi="仿宋" w:eastAsia="仿宋" w:cs="宋体"/>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pPr>
        <w:pStyle w:val="7"/>
        <w:spacing w:line="360" w:lineRule="auto"/>
        <w:ind w:firstLine="480"/>
        <w:rPr>
          <w:rFonts w:ascii="仿宋" w:hAnsi="仿宋" w:eastAsia="仿宋"/>
        </w:rPr>
      </w:pPr>
      <w:r>
        <w:rPr>
          <w:rFonts w:hint="eastAsia" w:ascii="仿宋" w:hAnsi="仿宋" w:eastAsia="仿宋"/>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pPr>
        <w:spacing w:line="360" w:lineRule="auto"/>
        <w:ind w:firstLine="480"/>
        <w:rPr>
          <w:rFonts w:ascii="仿宋" w:hAnsi="仿宋" w:eastAsia="仿宋"/>
          <w:b/>
          <w:sz w:val="24"/>
        </w:rPr>
      </w:pPr>
      <w:r>
        <w:rPr>
          <w:rFonts w:ascii="仿宋" w:hAnsi="仿宋" w:eastAsia="仿宋" w:cs="Arial"/>
          <w:b/>
          <w:sz w:val="24"/>
        </w:rPr>
        <w:t>2.4</w:t>
      </w:r>
      <w:r>
        <w:rPr>
          <w:rFonts w:ascii="仿宋" w:hAnsi="仿宋" w:eastAsia="仿宋"/>
          <w:b/>
          <w:sz w:val="24"/>
        </w:rPr>
        <w:t>采购标的其他技术、服务等要求</w:t>
      </w:r>
    </w:p>
    <w:p>
      <w:pPr>
        <w:pStyle w:val="7"/>
        <w:spacing w:line="360" w:lineRule="auto"/>
        <w:ind w:firstLine="482"/>
        <w:rPr>
          <w:rFonts w:ascii="仿宋" w:hAnsi="仿宋" w:eastAsia="仿宋"/>
          <w:b/>
        </w:rPr>
      </w:pPr>
      <w:r>
        <w:rPr>
          <w:rFonts w:hint="eastAsia" w:ascii="仿宋" w:hAnsi="仿宋" w:eastAsia="仿宋"/>
          <w:b/>
        </w:rPr>
        <w:t>2.4.1项目概况</w:t>
      </w:r>
    </w:p>
    <w:p>
      <w:pPr>
        <w:pStyle w:val="7"/>
        <w:spacing w:line="360" w:lineRule="auto"/>
        <w:ind w:firstLine="482"/>
        <w:contextualSpacing/>
        <w:rPr>
          <w:rFonts w:ascii="仿宋" w:hAnsi="仿宋" w:eastAsia="仿宋"/>
        </w:rPr>
      </w:pPr>
      <w:r>
        <w:rPr>
          <w:rFonts w:hint="eastAsia" w:ascii="仿宋" w:hAnsi="仿宋" w:eastAsia="仿宋"/>
        </w:rPr>
        <w:t>2026年职工体检工作即将开始，我中心在职、派遣及退休职工体检预算如下：</w:t>
      </w:r>
    </w:p>
    <w:p>
      <w:pPr>
        <w:pStyle w:val="7"/>
        <w:spacing w:line="360" w:lineRule="auto"/>
        <w:ind w:firstLine="482"/>
        <w:contextualSpacing/>
        <w:rPr>
          <w:rFonts w:ascii="仿宋" w:hAnsi="仿宋" w:eastAsia="仿宋"/>
        </w:rPr>
      </w:pPr>
      <w:r>
        <w:rPr>
          <w:rFonts w:hint="eastAsia" w:ascii="仿宋" w:hAnsi="仿宋" w:eastAsia="仿宋"/>
        </w:rPr>
        <w:t>中心现有需体检职工（在职、派遣、院退休）共2306人，费用总计:4300296元/年。</w:t>
      </w:r>
    </w:p>
    <w:p>
      <w:pPr>
        <w:pStyle w:val="7"/>
        <w:spacing w:line="360" w:lineRule="auto"/>
        <w:ind w:firstLine="482"/>
        <w:contextualSpacing/>
        <w:rPr>
          <w:rFonts w:ascii="仿宋" w:hAnsi="仿宋" w:eastAsia="仿宋"/>
          <w:b/>
        </w:rPr>
      </w:pPr>
      <w:r>
        <w:rPr>
          <w:rFonts w:hint="eastAsia" w:ascii="仿宋" w:hAnsi="仿宋" w:eastAsia="仿宋"/>
          <w:b/>
        </w:rPr>
        <w:t>2.4.2项目实施要求</w:t>
      </w:r>
    </w:p>
    <w:p>
      <w:pPr>
        <w:pStyle w:val="7"/>
        <w:spacing w:line="360" w:lineRule="auto"/>
        <w:ind w:firstLine="482"/>
        <w:contextualSpacing/>
        <w:rPr>
          <w:rFonts w:ascii="仿宋" w:hAnsi="仿宋" w:eastAsia="仿宋"/>
        </w:rPr>
      </w:pPr>
      <w:bookmarkStart w:id="6" w:name="OLE_LINK25"/>
      <w:r>
        <w:rPr>
          <w:rFonts w:hint="eastAsia" w:ascii="仿宋" w:hAnsi="仿宋" w:eastAsia="仿宋"/>
        </w:rPr>
        <w:t>2.4.2.1</w:t>
      </w:r>
      <w:bookmarkEnd w:id="6"/>
      <w:r>
        <w:rPr>
          <w:rFonts w:hint="eastAsia" w:ascii="仿宋" w:hAnsi="仿宋" w:eastAsia="仿宋"/>
        </w:rPr>
        <w:t>、体检结论：体检结论应在结束后15个工作日内，向用户方提交体检报告，具体内容包括个人体检报告、各分项统计报告和总体统计报告。</w:t>
      </w:r>
    </w:p>
    <w:p>
      <w:pPr>
        <w:pStyle w:val="7"/>
        <w:spacing w:line="360" w:lineRule="auto"/>
        <w:ind w:firstLine="482"/>
        <w:contextualSpacing/>
        <w:rPr>
          <w:rFonts w:ascii="仿宋" w:hAnsi="仿宋" w:eastAsia="仿宋"/>
        </w:rPr>
      </w:pPr>
      <w:r>
        <w:rPr>
          <w:rFonts w:hint="eastAsia" w:ascii="仿宋" w:hAnsi="仿宋" w:eastAsia="仿宋"/>
        </w:rPr>
        <w:t>2.4.2.2、其它需要说明问题：体检过程中所需要的设备和耗材，全部由体检机构提供；要求耗材采用一次性用品。</w:t>
      </w:r>
    </w:p>
    <w:p>
      <w:pPr>
        <w:pStyle w:val="7"/>
        <w:spacing w:line="360" w:lineRule="auto"/>
        <w:ind w:firstLine="482"/>
        <w:contextualSpacing/>
        <w:rPr>
          <w:rFonts w:ascii="仿宋" w:hAnsi="仿宋" w:eastAsia="仿宋"/>
          <w:b/>
        </w:rPr>
      </w:pPr>
      <w:bookmarkStart w:id="7" w:name="OLE_LINK29"/>
      <w:bookmarkStart w:id="8" w:name="OLE_LINK28"/>
      <w:r>
        <w:rPr>
          <w:rFonts w:hint="eastAsia" w:ascii="仿宋" w:hAnsi="仿宋" w:eastAsia="仿宋"/>
          <w:b/>
        </w:rPr>
        <w:t>2.4.3</w:t>
      </w:r>
      <w:bookmarkEnd w:id="7"/>
      <w:bookmarkEnd w:id="8"/>
      <w:r>
        <w:rPr>
          <w:rFonts w:hint="eastAsia" w:ascii="仿宋" w:hAnsi="仿宋" w:eastAsia="仿宋"/>
          <w:b/>
        </w:rPr>
        <w:t>服务要求</w:t>
      </w:r>
    </w:p>
    <w:p>
      <w:pPr>
        <w:spacing w:line="360" w:lineRule="auto"/>
        <w:ind w:firstLine="480" w:firstLineChars="200"/>
        <w:contextualSpacing/>
        <w:rPr>
          <w:rFonts w:ascii="仿宋" w:hAnsi="仿宋" w:eastAsia="仿宋"/>
          <w:sz w:val="24"/>
        </w:rPr>
      </w:pPr>
      <w:bookmarkStart w:id="9" w:name="OLE_LINK30"/>
      <w:r>
        <w:rPr>
          <w:rFonts w:hint="eastAsia" w:ascii="仿宋" w:hAnsi="仿宋" w:eastAsia="仿宋"/>
          <w:sz w:val="24"/>
        </w:rPr>
        <w:t>2.4.3.</w:t>
      </w:r>
      <w:bookmarkEnd w:id="9"/>
      <w:r>
        <w:rPr>
          <w:rFonts w:hint="eastAsia" w:ascii="仿宋" w:hAnsi="仿宋" w:eastAsia="仿宋"/>
          <w:sz w:val="24"/>
        </w:rPr>
        <w:t>1、体检机构在体检前提供体检注意事项及健康信息问卷调查表等。</w:t>
      </w:r>
    </w:p>
    <w:p>
      <w:pPr>
        <w:spacing w:line="360" w:lineRule="auto"/>
        <w:ind w:firstLine="480" w:firstLineChars="200"/>
        <w:contextualSpacing/>
        <w:rPr>
          <w:rFonts w:ascii="仿宋" w:hAnsi="仿宋" w:eastAsia="仿宋"/>
          <w:sz w:val="24"/>
        </w:rPr>
      </w:pPr>
      <w:r>
        <w:rPr>
          <w:rFonts w:hint="eastAsia" w:ascii="仿宋" w:hAnsi="仿宋" w:eastAsia="仿宋"/>
          <w:sz w:val="24"/>
        </w:rPr>
        <w:t>2.4.3.2、投标单位须在检前提供完善的体检服务计划。包括但不限于依据现实情况确定专场体检地点、场次等，并为单独前往体检的人员提供免费停车位，具体由双方协商确定。投标单位诊疗设备先进，符合质量规范的要求。医疗服务标准规范，医务人员责任心强，保证体检质量。有合理的体检流程、应急预案和人员引导，保证人员及时、安全地完成体检。</w:t>
      </w:r>
    </w:p>
    <w:p>
      <w:pPr>
        <w:spacing w:line="360" w:lineRule="auto"/>
        <w:ind w:firstLine="480" w:firstLineChars="200"/>
        <w:contextualSpacing/>
        <w:rPr>
          <w:rFonts w:ascii="仿宋" w:hAnsi="仿宋" w:eastAsia="仿宋"/>
          <w:sz w:val="24"/>
        </w:rPr>
      </w:pPr>
      <w:r>
        <w:rPr>
          <w:rFonts w:hint="eastAsia" w:ascii="仿宋" w:hAnsi="仿宋" w:eastAsia="仿宋"/>
          <w:sz w:val="24"/>
        </w:rPr>
        <w:t>2.4.3.3、为参检人员提供体检当日免费营养早餐。</w:t>
      </w:r>
    </w:p>
    <w:p>
      <w:pPr>
        <w:spacing w:line="360" w:lineRule="auto"/>
        <w:ind w:firstLine="480" w:firstLineChars="200"/>
        <w:contextualSpacing/>
        <w:rPr>
          <w:rFonts w:ascii="仿宋" w:hAnsi="仿宋" w:eastAsia="仿宋"/>
          <w:sz w:val="24"/>
        </w:rPr>
      </w:pPr>
      <w:r>
        <w:rPr>
          <w:rFonts w:hint="eastAsia" w:ascii="仿宋" w:hAnsi="仿宋" w:eastAsia="仿宋"/>
          <w:sz w:val="24"/>
        </w:rPr>
        <w:t>2.4.3.4、体检后10日内提供个人网上体检结果查询，健康报告在体检项目结束15个工作日内送达。</w:t>
      </w:r>
    </w:p>
    <w:p>
      <w:pPr>
        <w:spacing w:line="360" w:lineRule="auto"/>
        <w:ind w:firstLine="480" w:firstLineChars="200"/>
        <w:contextualSpacing/>
        <w:rPr>
          <w:rFonts w:ascii="仿宋" w:hAnsi="仿宋" w:eastAsia="仿宋"/>
          <w:sz w:val="24"/>
        </w:rPr>
      </w:pPr>
      <w:r>
        <w:rPr>
          <w:rFonts w:hint="eastAsia" w:ascii="仿宋" w:hAnsi="仿宋" w:eastAsia="仿宋"/>
          <w:sz w:val="24"/>
        </w:rPr>
        <w:t>2.4.3.5、所有参检人员的检查结果需进信息库保存，做到参检人本人随到随查，如体检人纸质体检报告不慎遗失，能够提供重新打印服务。</w:t>
      </w:r>
    </w:p>
    <w:p>
      <w:pPr>
        <w:spacing w:line="360" w:lineRule="auto"/>
        <w:ind w:firstLine="480" w:firstLineChars="200"/>
        <w:contextualSpacing/>
        <w:rPr>
          <w:rFonts w:ascii="仿宋" w:hAnsi="仿宋" w:eastAsia="仿宋"/>
          <w:sz w:val="24"/>
        </w:rPr>
      </w:pPr>
      <w:r>
        <w:rPr>
          <w:rFonts w:hint="eastAsia" w:ascii="仿宋" w:hAnsi="仿宋" w:eastAsia="仿宋"/>
          <w:sz w:val="24"/>
        </w:rPr>
        <w:t>2.4.3.6、体检后10-15天内由健康管理师进行电话回访服务，异常报告定期电话提醒复查，有体检结果重大异常者，</w:t>
      </w:r>
      <w:r>
        <w:rPr>
          <w:rFonts w:hint="eastAsia" w:ascii="仿宋" w:hAnsi="仿宋" w:eastAsia="仿宋"/>
          <w:color w:val="000000" w:themeColor="text1"/>
          <w:sz w:val="24"/>
          <w14:textFill>
            <w14:solidFill>
              <w14:schemeClr w14:val="tx1"/>
            </w14:solidFill>
          </w14:textFill>
        </w:rPr>
        <w:t>体检机构需当天通知并协助相应的就诊绿色通道。</w:t>
      </w:r>
    </w:p>
    <w:p>
      <w:pPr>
        <w:spacing w:line="360" w:lineRule="auto"/>
        <w:ind w:firstLine="480" w:firstLineChars="200"/>
        <w:contextualSpacing/>
        <w:rPr>
          <w:rFonts w:ascii="仿宋" w:hAnsi="仿宋" w:eastAsia="仿宋"/>
          <w:sz w:val="24"/>
        </w:rPr>
      </w:pPr>
      <w:r>
        <w:rPr>
          <w:rFonts w:hint="eastAsia" w:ascii="仿宋" w:hAnsi="仿宋" w:eastAsia="仿宋"/>
          <w:sz w:val="24"/>
        </w:rPr>
        <w:t>2.4.3.7、体检机构能够提供网站、电话、微信等多种形式的预约、取消、体检结果查询，建立每位参检人员个人电子档案，以备与之后的检查结果进行对照，方便参检人员实施健康管理。</w:t>
      </w:r>
    </w:p>
    <w:p>
      <w:pPr>
        <w:spacing w:line="360" w:lineRule="auto"/>
        <w:ind w:firstLine="480" w:firstLineChars="200"/>
        <w:contextualSpacing/>
        <w:rPr>
          <w:rFonts w:ascii="仿宋" w:hAnsi="仿宋" w:eastAsia="仿宋"/>
          <w:sz w:val="24"/>
        </w:rPr>
      </w:pPr>
      <w:r>
        <w:rPr>
          <w:rFonts w:hint="eastAsia" w:ascii="仿宋" w:hAnsi="仿宋" w:eastAsia="仿宋"/>
          <w:sz w:val="24"/>
        </w:rPr>
        <w:t>2.4.3.8、体检过程中涉及参检人员的身份证号、个人健康情况、体检报告等私人信息，体检机构应按照相关法律法规的要求进行信息保护，严格保密，不得以任何理由、任何形式泄露或使用。</w:t>
      </w:r>
    </w:p>
    <w:p>
      <w:pPr>
        <w:spacing w:line="360" w:lineRule="auto"/>
        <w:ind w:firstLine="480" w:firstLineChars="200"/>
        <w:contextualSpacing/>
        <w:rPr>
          <w:rFonts w:ascii="仿宋" w:hAnsi="仿宋" w:eastAsia="仿宋"/>
          <w:sz w:val="24"/>
        </w:rPr>
      </w:pPr>
      <w:r>
        <w:rPr>
          <w:rFonts w:hint="eastAsia" w:ascii="仿宋" w:hAnsi="仿宋" w:eastAsia="仿宋"/>
          <w:sz w:val="24"/>
        </w:rPr>
        <w:t xml:space="preserve">2.4.3.9、补检人员需提前3个工作日通过电话预约补检时间，补检仍按实际补检人数向投标人支付体检费。 </w:t>
      </w:r>
    </w:p>
    <w:p>
      <w:pPr>
        <w:spacing w:line="360" w:lineRule="auto"/>
        <w:ind w:firstLine="480" w:firstLineChars="200"/>
        <w:contextualSpacing/>
        <w:rPr>
          <w:rFonts w:ascii="仿宋" w:hAnsi="仿宋" w:eastAsia="仿宋" w:cs="宋体"/>
          <w:kern w:val="0"/>
          <w:sz w:val="24"/>
        </w:rPr>
      </w:pPr>
      <w:r>
        <w:rPr>
          <w:rFonts w:hint="eastAsia" w:ascii="仿宋" w:hAnsi="仿宋" w:eastAsia="仿宋"/>
          <w:sz w:val="24"/>
        </w:rPr>
        <w:t>2.4.3.10、投标人提供</w:t>
      </w:r>
      <w:r>
        <w:rPr>
          <w:rFonts w:ascii="仿宋" w:hAnsi="仿宋" w:eastAsia="仿宋" w:cs="宋体"/>
          <w:kern w:val="0"/>
          <w:sz w:val="24"/>
        </w:rPr>
        <w:t>需求理解方案</w:t>
      </w:r>
      <w:r>
        <w:rPr>
          <w:rFonts w:hint="eastAsia" w:ascii="仿宋" w:hAnsi="仿宋" w:eastAsia="仿宋" w:cs="宋体"/>
          <w:kern w:val="0"/>
          <w:sz w:val="24"/>
        </w:rPr>
        <w:t>，</w:t>
      </w:r>
      <w:r>
        <w:rPr>
          <w:rFonts w:ascii="仿宋" w:hAnsi="仿宋" w:eastAsia="仿宋" w:cs="宋体"/>
          <w:kern w:val="0"/>
          <w:sz w:val="24"/>
        </w:rPr>
        <w:t>进行需求分析，</w:t>
      </w:r>
      <w:r>
        <w:rPr>
          <w:rFonts w:hint="eastAsia" w:ascii="仿宋" w:hAnsi="仿宋" w:eastAsia="仿宋" w:cs="宋体"/>
          <w:kern w:val="0"/>
          <w:sz w:val="24"/>
        </w:rPr>
        <w:t>提供</w:t>
      </w:r>
      <w:r>
        <w:rPr>
          <w:rFonts w:ascii="仿宋" w:hAnsi="仿宋" w:eastAsia="仿宋" w:cs="宋体"/>
          <w:kern w:val="0"/>
          <w:sz w:val="24"/>
        </w:rPr>
        <w:t>服务质量保证措施</w:t>
      </w:r>
      <w:r>
        <w:rPr>
          <w:rFonts w:hint="eastAsia" w:ascii="仿宋" w:hAnsi="仿宋" w:eastAsia="仿宋" w:cs="宋体"/>
          <w:kern w:val="0"/>
          <w:sz w:val="24"/>
        </w:rPr>
        <w:t>。</w:t>
      </w:r>
    </w:p>
    <w:p>
      <w:pPr>
        <w:spacing w:line="360" w:lineRule="auto"/>
        <w:ind w:firstLine="480" w:firstLineChars="200"/>
        <w:contextualSpacing/>
        <w:rPr>
          <w:rFonts w:ascii="仿宋" w:hAnsi="仿宋" w:eastAsia="仿宋" w:cs="宋体"/>
          <w:kern w:val="0"/>
          <w:sz w:val="24"/>
        </w:rPr>
      </w:pPr>
      <w:r>
        <w:rPr>
          <w:rFonts w:hint="eastAsia" w:ascii="仿宋" w:hAnsi="仿宋" w:eastAsia="仿宋"/>
          <w:sz w:val="24"/>
        </w:rPr>
        <w:t>2.4.3.</w:t>
      </w:r>
      <w:r>
        <w:rPr>
          <w:rFonts w:hint="eastAsia" w:ascii="仿宋" w:hAnsi="仿宋" w:eastAsia="仿宋" w:cs="宋体"/>
          <w:kern w:val="0"/>
          <w:sz w:val="24"/>
        </w:rPr>
        <w:t>11、投标人提供</w:t>
      </w:r>
      <w:r>
        <w:rPr>
          <w:rFonts w:ascii="仿宋" w:hAnsi="仿宋" w:eastAsia="仿宋" w:cs="宋体"/>
          <w:kern w:val="0"/>
          <w:sz w:val="24"/>
        </w:rPr>
        <w:t>整体服务方案</w:t>
      </w:r>
      <w:r>
        <w:rPr>
          <w:rFonts w:hint="eastAsia" w:ascii="仿宋" w:hAnsi="仿宋" w:eastAsia="仿宋" w:cs="宋体"/>
          <w:kern w:val="0"/>
          <w:sz w:val="24"/>
        </w:rPr>
        <w:t>（包括但不限于体检服务时间范围、体检流程安排、体检服务便利性、保证措施及服务承诺等），确保项目顺利实施；能够在一周内完成专场专区体检。交通便利，距离用户单位近。</w:t>
      </w:r>
    </w:p>
    <w:p>
      <w:pPr>
        <w:spacing w:line="360" w:lineRule="auto"/>
        <w:ind w:firstLine="480" w:firstLineChars="200"/>
        <w:contextualSpacing/>
        <w:rPr>
          <w:rFonts w:ascii="仿宋" w:hAnsi="仿宋" w:eastAsia="仿宋"/>
          <w:sz w:val="24"/>
        </w:rPr>
      </w:pPr>
      <w:r>
        <w:rPr>
          <w:rFonts w:hint="eastAsia" w:ascii="仿宋" w:hAnsi="仿宋" w:eastAsia="仿宋"/>
          <w:sz w:val="24"/>
        </w:rPr>
        <w:t>2.4.3.</w:t>
      </w:r>
      <w:r>
        <w:rPr>
          <w:rFonts w:hint="eastAsia" w:ascii="仿宋" w:hAnsi="仿宋" w:eastAsia="仿宋" w:cs="宋体"/>
          <w:kern w:val="0"/>
          <w:sz w:val="24"/>
        </w:rPr>
        <w:t>12、投标人提供</w:t>
      </w:r>
      <w:r>
        <w:rPr>
          <w:rFonts w:hint="eastAsia" w:ascii="仿宋" w:hAnsi="仿宋" w:eastAsia="仿宋"/>
          <w:sz w:val="24"/>
        </w:rPr>
        <w:t>体检流程方案专业度高，科学性强，服务满意度高。</w:t>
      </w:r>
    </w:p>
    <w:p>
      <w:pPr>
        <w:spacing w:line="360" w:lineRule="auto"/>
        <w:ind w:firstLine="480" w:firstLineChars="200"/>
        <w:contextualSpacing/>
        <w:rPr>
          <w:rFonts w:ascii="仿宋" w:hAnsi="仿宋" w:eastAsia="仿宋"/>
          <w:sz w:val="24"/>
        </w:rPr>
      </w:pPr>
      <w:r>
        <w:rPr>
          <w:rFonts w:hint="eastAsia" w:ascii="仿宋" w:hAnsi="仿宋" w:eastAsia="仿宋"/>
          <w:sz w:val="24"/>
        </w:rPr>
        <w:t>2.4.3.13、</w:t>
      </w:r>
      <w:r>
        <w:rPr>
          <w:rFonts w:hint="eastAsia" w:ascii="仿宋" w:hAnsi="仿宋" w:eastAsia="仿宋" w:cs="宋体"/>
          <w:kern w:val="0"/>
          <w:sz w:val="24"/>
        </w:rPr>
        <w:t>投标人拟投入</w:t>
      </w:r>
      <w:r>
        <w:rPr>
          <w:rFonts w:hint="eastAsia" w:ascii="仿宋" w:hAnsi="仿宋" w:eastAsia="仿宋"/>
          <w:sz w:val="24"/>
        </w:rPr>
        <w:t>设备种类全面，数量多，使用年限短，先进性及稳定性强，试剂质量高且能保证安全和准确性。</w:t>
      </w:r>
    </w:p>
    <w:p>
      <w:pPr>
        <w:spacing w:line="360" w:lineRule="auto"/>
        <w:ind w:firstLine="480" w:firstLineChars="200"/>
        <w:contextualSpacing/>
        <w:rPr>
          <w:rFonts w:ascii="仿宋" w:hAnsi="仿宋" w:eastAsia="仿宋"/>
          <w:sz w:val="24"/>
        </w:rPr>
      </w:pPr>
      <w:r>
        <w:rPr>
          <w:rFonts w:hint="eastAsia" w:ascii="仿宋" w:hAnsi="仿宋" w:eastAsia="仿宋"/>
          <w:sz w:val="24"/>
        </w:rPr>
        <w:t>2.4.3.14、投标人在在体检地点具有自有临床检验实验室，实验室设备自有，生物标本无须外送。</w:t>
      </w:r>
    </w:p>
    <w:p>
      <w:pPr>
        <w:spacing w:line="360" w:lineRule="auto"/>
        <w:ind w:firstLine="480" w:firstLineChars="200"/>
        <w:contextualSpacing/>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2.4.3.15、投标人在放射科配备具有三甲医院从业经历的放射科医师，具备数据分析、影像学诊断、双阅片资格。</w:t>
      </w:r>
    </w:p>
    <w:p>
      <w:pPr>
        <w:spacing w:line="360" w:lineRule="auto"/>
        <w:ind w:firstLine="480" w:firstLineChars="200"/>
        <w:contextualSpacing/>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2.4.3.16、投标人在病理科配备具有三甲医院从业经历的病理科医师，具备检验，病理学诊断资格。</w:t>
      </w:r>
    </w:p>
    <w:p>
      <w:pPr>
        <w:spacing w:line="360" w:lineRule="auto"/>
        <w:ind w:firstLine="480" w:firstLineChars="200"/>
        <w:contextualSpacing/>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2.4.3.17、投标人提供的检验精确度能够达到相关要求，临床检验结果为京津冀互认。</w:t>
      </w:r>
    </w:p>
    <w:p>
      <w:pPr>
        <w:spacing w:line="360" w:lineRule="auto"/>
        <w:ind w:firstLine="480" w:firstLineChars="200"/>
        <w:contextualSpacing/>
        <w:rPr>
          <w:rFonts w:ascii="仿宋" w:hAnsi="仿宋" w:eastAsia="仿宋"/>
          <w:sz w:val="24"/>
        </w:rPr>
      </w:pPr>
      <w:r>
        <w:rPr>
          <w:rFonts w:hint="eastAsia" w:ascii="仿宋" w:hAnsi="仿宋" w:eastAsia="仿宋"/>
          <w:sz w:val="24"/>
        </w:rPr>
        <w:t>2.4.3.18、投标人提供应急事件处理预案，包括但不限于突发事件或临时事件等的响应时间及措施、包含提供绿色通道：确保体检人员在体检过程中出现突发急症能快色送至三甲医院；危急值制度：重大阳性检出结果及时通知（24小时内）受检者等内容。</w:t>
      </w:r>
    </w:p>
    <w:p>
      <w:pPr>
        <w:spacing w:line="360" w:lineRule="auto"/>
        <w:ind w:firstLine="480" w:firstLineChars="200"/>
        <w:contextualSpacing/>
        <w:rPr>
          <w:rFonts w:ascii="仿宋" w:hAnsi="仿宋" w:eastAsia="仿宋"/>
          <w:color w:val="000000" w:themeColor="text1"/>
          <w:sz w:val="24"/>
          <w14:textFill>
            <w14:solidFill>
              <w14:schemeClr w14:val="tx1"/>
            </w14:solidFill>
          </w14:textFill>
        </w:rPr>
      </w:pPr>
      <w:r>
        <w:rPr>
          <w:rFonts w:hint="eastAsia" w:ascii="仿宋" w:hAnsi="仿宋" w:eastAsia="仿宋"/>
          <w:sz w:val="24"/>
        </w:rPr>
        <w:t>2.4.3.19、投标人提供售后服务方案完整具体、科学合理，可行性强，用户能通过微信公众号、小程序、APP等途径（至少具备1种途径），实现预约、查询电子健康体检报告等信息化管理和维护功能，并制定相应保密制度和措施，防止体检人员信息和结果被泄露，</w:t>
      </w:r>
      <w:r>
        <w:rPr>
          <w:rFonts w:hint="eastAsia" w:ascii="仿宋" w:hAnsi="仿宋" w:eastAsia="仿宋"/>
          <w:color w:val="000000" w:themeColor="text1"/>
          <w:sz w:val="24"/>
          <w14:textFill>
            <w14:solidFill>
              <w14:schemeClr w14:val="tx1"/>
            </w14:solidFill>
          </w14:textFill>
        </w:rPr>
        <w:t>检后提供三甲医院就诊绿色通道，包括：协助指导就诊科室，挂普通及专家门诊号，提供团体报告汇总，体检异常数据分析，个性化健康改善计划，资讯及健康讲座等。</w:t>
      </w:r>
    </w:p>
    <w:p>
      <w:pPr>
        <w:spacing w:line="360" w:lineRule="auto"/>
        <w:ind w:firstLine="480" w:firstLineChars="200"/>
        <w:contextualSpacing/>
        <w:rPr>
          <w:rFonts w:ascii="仿宋" w:hAnsi="仿宋" w:eastAsia="仿宋"/>
          <w:sz w:val="24"/>
        </w:rPr>
      </w:pPr>
      <w:r>
        <w:rPr>
          <w:rFonts w:hint="eastAsia" w:ascii="仿宋" w:hAnsi="仿宋" w:eastAsia="仿宋"/>
          <w:sz w:val="24"/>
        </w:rPr>
        <w:t>2.4.3.20、</w:t>
      </w:r>
      <w:r>
        <w:rPr>
          <w:rFonts w:hint="eastAsia" w:ascii="仿宋" w:hAnsi="仿宋" w:eastAsia="仿宋"/>
          <w:kern w:val="0"/>
          <w:sz w:val="24"/>
        </w:rPr>
        <w:t>投标人拟投入医生团队相关经验丰富，具有在三甲医院相关从业经历的体检医师。</w:t>
      </w:r>
    </w:p>
    <w:p>
      <w:pPr>
        <w:spacing w:line="360" w:lineRule="auto"/>
        <w:ind w:firstLine="482" w:firstLineChars="200"/>
        <w:contextualSpacing/>
        <w:rPr>
          <w:rFonts w:ascii="仿宋" w:hAnsi="仿宋" w:eastAsia="仿宋"/>
          <w:b/>
          <w:sz w:val="24"/>
        </w:rPr>
      </w:pPr>
      <w:r>
        <w:rPr>
          <w:rFonts w:hint="eastAsia" w:ascii="仿宋" w:hAnsi="仿宋" w:eastAsia="仿宋"/>
          <w:b/>
          <w:sz w:val="24"/>
        </w:rPr>
        <w:t>2.4.3.21、项目明细单</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545"/>
        <w:gridCol w:w="849"/>
        <w:gridCol w:w="793"/>
        <w:gridCol w:w="711"/>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b/>
                <w:kern w:val="0"/>
                <w:sz w:val="24"/>
              </w:rPr>
            </w:pPr>
            <w:bookmarkStart w:id="10" w:name="_Hlk230900647"/>
            <w:bookmarkStart w:id="11" w:name="OLE_LINK45"/>
            <w:bookmarkStart w:id="12" w:name="OLE_LINK41"/>
            <w:r>
              <w:rPr>
                <w:rFonts w:hint="eastAsia" w:ascii="仿宋" w:hAnsi="仿宋" w:eastAsia="仿宋" w:cs="宋体"/>
                <w:b/>
                <w:kern w:val="0"/>
                <w:sz w:val="24"/>
              </w:rPr>
              <w:t>项目</w:t>
            </w:r>
          </w:p>
        </w:tc>
        <w:tc>
          <w:tcPr>
            <w:tcW w:w="2080" w:type="pct"/>
            <w:vAlign w:val="center"/>
          </w:tcPr>
          <w:p>
            <w:pPr>
              <w:widowControl/>
              <w:spacing w:line="276" w:lineRule="auto"/>
              <w:contextualSpacing/>
              <w:jc w:val="center"/>
              <w:rPr>
                <w:rFonts w:ascii="仿宋" w:hAnsi="仿宋" w:eastAsia="仿宋" w:cs="宋体"/>
                <w:b/>
                <w:kern w:val="0"/>
                <w:sz w:val="24"/>
              </w:rPr>
            </w:pPr>
            <w:r>
              <w:rPr>
                <w:rFonts w:hint="eastAsia" w:ascii="仿宋" w:hAnsi="仿宋" w:eastAsia="仿宋" w:cs="宋体"/>
                <w:b/>
                <w:kern w:val="0"/>
                <w:sz w:val="24"/>
              </w:rPr>
              <w:t>具体明细</w:t>
            </w:r>
          </w:p>
        </w:tc>
        <w:tc>
          <w:tcPr>
            <w:tcW w:w="498" w:type="pct"/>
            <w:noWrap/>
            <w:vAlign w:val="center"/>
          </w:tcPr>
          <w:p>
            <w:pPr>
              <w:widowControl/>
              <w:spacing w:line="276" w:lineRule="auto"/>
              <w:contextualSpacing/>
              <w:jc w:val="center"/>
              <w:rPr>
                <w:rFonts w:ascii="仿宋" w:hAnsi="仿宋" w:eastAsia="仿宋" w:cs="宋体"/>
                <w:b/>
                <w:kern w:val="0"/>
                <w:sz w:val="24"/>
              </w:rPr>
            </w:pPr>
            <w:bookmarkStart w:id="13" w:name="OLE_LINK46"/>
            <w:r>
              <w:rPr>
                <w:rFonts w:hint="eastAsia" w:ascii="仿宋" w:hAnsi="仿宋" w:eastAsia="仿宋" w:cs="宋体"/>
                <w:b/>
                <w:kern w:val="0"/>
                <w:sz w:val="24"/>
              </w:rPr>
              <w:t>≤40岁女职工</w:t>
            </w:r>
            <w:bookmarkEnd w:id="13"/>
          </w:p>
        </w:tc>
        <w:tc>
          <w:tcPr>
            <w:tcW w:w="465" w:type="pct"/>
            <w:noWrap/>
            <w:vAlign w:val="center"/>
          </w:tcPr>
          <w:p>
            <w:pPr>
              <w:widowControl/>
              <w:spacing w:line="276" w:lineRule="auto"/>
              <w:contextualSpacing/>
              <w:rPr>
                <w:rFonts w:ascii="仿宋" w:hAnsi="仿宋" w:eastAsia="仿宋" w:cs="宋体"/>
                <w:b/>
                <w:kern w:val="0"/>
                <w:sz w:val="24"/>
              </w:rPr>
            </w:pPr>
            <w:r>
              <w:rPr>
                <w:rFonts w:hint="eastAsia" w:ascii="仿宋" w:hAnsi="仿宋" w:eastAsia="仿宋" w:cs="宋体"/>
                <w:b/>
                <w:kern w:val="0"/>
                <w:sz w:val="24"/>
              </w:rPr>
              <w:t>＞40岁女职工</w:t>
            </w:r>
          </w:p>
        </w:tc>
        <w:tc>
          <w:tcPr>
            <w:tcW w:w="417" w:type="pct"/>
            <w:vAlign w:val="center"/>
          </w:tcPr>
          <w:p>
            <w:pPr>
              <w:widowControl/>
              <w:spacing w:line="276" w:lineRule="auto"/>
              <w:contextualSpacing/>
              <w:jc w:val="center"/>
              <w:rPr>
                <w:rFonts w:ascii="仿宋" w:hAnsi="仿宋" w:eastAsia="仿宋" w:cs="宋体"/>
                <w:b/>
                <w:kern w:val="0"/>
                <w:sz w:val="24"/>
              </w:rPr>
            </w:pPr>
            <w:bookmarkStart w:id="14" w:name="OLE_LINK47"/>
            <w:r>
              <w:rPr>
                <w:rFonts w:hint="eastAsia" w:ascii="仿宋" w:hAnsi="仿宋" w:eastAsia="仿宋" w:cs="宋体"/>
                <w:b/>
                <w:kern w:val="0"/>
                <w:sz w:val="24"/>
              </w:rPr>
              <w:t>≤45岁男职工</w:t>
            </w:r>
            <w:bookmarkEnd w:id="14"/>
          </w:p>
        </w:tc>
        <w:tc>
          <w:tcPr>
            <w:tcW w:w="478" w:type="pct"/>
            <w:vAlign w:val="center"/>
          </w:tcPr>
          <w:p>
            <w:pPr>
              <w:widowControl/>
              <w:spacing w:line="276" w:lineRule="auto"/>
              <w:contextualSpacing/>
              <w:jc w:val="center"/>
              <w:rPr>
                <w:rFonts w:ascii="仿宋" w:hAnsi="仿宋" w:eastAsia="仿宋" w:cs="宋体"/>
                <w:b/>
                <w:kern w:val="0"/>
                <w:sz w:val="24"/>
              </w:rPr>
            </w:pPr>
            <w:r>
              <w:rPr>
                <w:rFonts w:hint="eastAsia" w:ascii="仿宋" w:hAnsi="仿宋" w:eastAsia="仿宋" w:cs="宋体"/>
                <w:b/>
                <w:kern w:val="0"/>
                <w:sz w:val="24"/>
              </w:rPr>
              <w:t>＞45岁男职工</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一般检查</w:t>
            </w:r>
          </w:p>
        </w:tc>
        <w:tc>
          <w:tcPr>
            <w:tcW w:w="2080" w:type="pct"/>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身高、体重、腰臀比</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内科物理检查</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收缩压、舒张压、脉搏、心率、心界大小、杂音、腹部器官、肺部、肝脏、脾脏、肾脏</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外科物理检查</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甲状腺、淋巴结、脊柱、四肢、关节、肛门、乳腺</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眼科物理检查</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视力、辨色力、眼压测定、裂隙灯检查、小瞳孔眼底检查</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耳鼻喉科物理检查</w:t>
            </w:r>
          </w:p>
        </w:tc>
        <w:tc>
          <w:tcPr>
            <w:tcW w:w="2080" w:type="pct"/>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外耳道、鼓膜、鼻腔、咽喉部检查</w:t>
            </w:r>
          </w:p>
        </w:tc>
        <w:tc>
          <w:tcPr>
            <w:tcW w:w="498"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口腔科物理检查</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牙齿情况、牙周情况</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妇科物理检查</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外阴、阴道、宫颈、宫体、附件、分泌物</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c>
          <w:tcPr>
            <w:tcW w:w="478"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肝胆胰脾彩色多普勒超声检查</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了解肝胆胰脾结构及病变</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肾彩色多普勒超声检查</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了解肾脏结构及病变</w:t>
            </w:r>
          </w:p>
        </w:tc>
        <w:tc>
          <w:tcPr>
            <w:tcW w:w="498"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胸部C</w:t>
            </w:r>
            <w:r>
              <w:rPr>
                <w:rFonts w:ascii="仿宋" w:hAnsi="仿宋" w:eastAsia="仿宋" w:cs="宋体"/>
                <w:kern w:val="0"/>
                <w:sz w:val="24"/>
              </w:rPr>
              <w:t>T平扫（薄层低剂量）</w:t>
            </w:r>
            <w:r>
              <w:rPr>
                <w:rFonts w:hint="eastAsia" w:ascii="仿宋" w:hAnsi="仿宋" w:eastAsia="仿宋" w:cs="宋体"/>
                <w:kern w:val="0"/>
                <w:sz w:val="24"/>
              </w:rPr>
              <w:t>（无片）</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肺部小剂量CT：双肺情况</w:t>
            </w:r>
          </w:p>
          <w:p>
            <w:pPr>
              <w:spacing w:line="276" w:lineRule="auto"/>
              <w:contextualSpacing/>
              <w:jc w:val="center"/>
              <w:rPr>
                <w:rFonts w:ascii="仿宋" w:hAnsi="仿宋" w:eastAsia="仿宋" w:cs="宋体"/>
                <w:kern w:val="0"/>
                <w:sz w:val="24"/>
              </w:rPr>
            </w:pPr>
            <w:r>
              <w:rPr>
                <w:rFonts w:ascii="仿宋" w:hAnsi="仿宋" w:eastAsia="仿宋" w:cs="宋体"/>
                <w:kern w:val="0"/>
                <w:sz w:val="24"/>
              </w:rPr>
              <w:t>以上内容</w:t>
            </w:r>
            <w:r>
              <w:rPr>
                <w:rFonts w:hint="eastAsia" w:ascii="仿宋" w:hAnsi="仿宋" w:eastAsia="仿宋" w:cs="宋体"/>
                <w:kern w:val="0"/>
                <w:sz w:val="24"/>
              </w:rPr>
              <w:t>+C</w:t>
            </w:r>
            <w:r>
              <w:rPr>
                <w:rFonts w:ascii="仿宋" w:hAnsi="仿宋" w:eastAsia="仿宋" w:cs="宋体"/>
                <w:kern w:val="0"/>
                <w:sz w:val="24"/>
              </w:rPr>
              <w:t>T</w:t>
            </w:r>
            <w:r>
              <w:rPr>
                <w:rFonts w:hint="eastAsia" w:ascii="仿宋" w:hAnsi="仿宋" w:eastAsia="仿宋" w:cs="宋体"/>
                <w:kern w:val="0"/>
                <w:sz w:val="24"/>
              </w:rPr>
              <w:t>（不含片）为C</w:t>
            </w:r>
            <w:r>
              <w:rPr>
                <w:rFonts w:ascii="仿宋" w:hAnsi="仿宋" w:eastAsia="仿宋" w:cs="宋体"/>
                <w:kern w:val="0"/>
                <w:sz w:val="24"/>
              </w:rPr>
              <w:t>T套餐</w:t>
            </w:r>
          </w:p>
        </w:tc>
        <w:tc>
          <w:tcPr>
            <w:tcW w:w="498"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心电图</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电脑多导联心电图</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血常规</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白细胞、中性粒细胞比率、淋巴细胞比率、单核细胞比率、嗜酸性粒细胞比率、嗜碱性粒细胞比率、中性粒细胞、淋巴细胞、单核细胞、嗜酸性粒细胞绝对值、嗜碱性粒细胞绝对值、红细胞、血红蛋白、红细胞压积、平均红细胞体积、平均红细胞血红蛋白含量、平均红细胞血红蛋白浓度、红细胞分布宽度、血小板、血小板分布宽度、血小板平均体积、大血小板比率</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尿常规</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白细胞、尿红细胞、酮体、尿蛋白、白细胞计数、红细胞计数、上皮细胞计数、管型计数、细菌计数</w:t>
            </w:r>
          </w:p>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结晶检查、小圆上皮细胞、酵母菌</w:t>
            </w:r>
          </w:p>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红细胞信息、电导率、完整红细胞绝对值、完整红细胞百分比、比重</w:t>
            </w:r>
          </w:p>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胆红素、葡萄糖、尿胆原、亚硝酸盐、颜色、清晰度</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生化全项</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总蛋白、白蛋白、谷草转氨酶、谷丙转氨酶、碱性磷酸酶、氯、球蛋白、白球比例、前白蛋白、总胆固醇、高密度脂蛋白、低密度脂蛋白、</w:t>
            </w:r>
          </w:p>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甘油三酯、脂蛋白、</w:t>
            </w:r>
            <w:r>
              <w:rPr>
                <w:rFonts w:ascii="仿宋" w:hAnsi="仿宋" w:eastAsia="仿宋" w:cs="宋体"/>
                <w:kern w:val="0"/>
                <w:sz w:val="24"/>
              </w:rPr>
              <w:t>AST:ALT</w:t>
            </w:r>
            <w:r>
              <w:rPr>
                <w:rFonts w:hint="eastAsia" w:ascii="仿宋" w:hAnsi="仿宋" w:eastAsia="仿宋" w:cs="宋体"/>
                <w:kern w:val="0"/>
                <w:sz w:val="24"/>
              </w:rPr>
              <w:t>、肌酸激酶、乳酸脱氢酶、ɑ-羟丁酸脱氢酶、r-谷氨酰转化酶、总胆红素、</w:t>
            </w:r>
          </w:p>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直接胆红素、间接胆红素、总胆汁酸、尿素、肌酐、尿酸、钙、磷、纳、钾、二氧化碳、阴离子间隙、</w:t>
            </w:r>
          </w:p>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血糖、渗透压</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同型半胱氨酸</w:t>
            </w:r>
          </w:p>
        </w:tc>
        <w:tc>
          <w:tcPr>
            <w:tcW w:w="2080" w:type="pct"/>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对于预测心血管事件和卒中的发病风险有意义</w:t>
            </w:r>
          </w:p>
        </w:tc>
        <w:tc>
          <w:tcPr>
            <w:tcW w:w="498" w:type="pct"/>
            <w:noWrap/>
            <w:vAlign w:val="center"/>
          </w:tcPr>
          <w:p>
            <w:pPr>
              <w:spacing w:line="276" w:lineRule="auto"/>
              <w:contextualSpacing/>
              <w:jc w:val="center"/>
              <w:rPr>
                <w:rFonts w:ascii="仿宋" w:hAnsi="仿宋" w:eastAsia="仿宋" w:cs="宋体"/>
                <w:kern w:val="0"/>
                <w:sz w:val="24"/>
              </w:rPr>
            </w:pPr>
          </w:p>
        </w:tc>
        <w:tc>
          <w:tcPr>
            <w:tcW w:w="465"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乳腺彩色多普勒超声检查</w:t>
            </w:r>
          </w:p>
        </w:tc>
        <w:tc>
          <w:tcPr>
            <w:tcW w:w="2080" w:type="pct"/>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筛查乳腺疾病</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c>
          <w:tcPr>
            <w:tcW w:w="478"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妇科彩色多普勒超声检查</w:t>
            </w:r>
          </w:p>
        </w:tc>
        <w:tc>
          <w:tcPr>
            <w:tcW w:w="2080" w:type="pct"/>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了解生殖系统结构和病变</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c>
          <w:tcPr>
            <w:tcW w:w="478"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泌尿系（男）彩色多普勒超声检查</w:t>
            </w:r>
          </w:p>
        </w:tc>
        <w:tc>
          <w:tcPr>
            <w:tcW w:w="2080" w:type="pct"/>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了解双肾、输尿管、膀前列腺结构和病变</w:t>
            </w:r>
          </w:p>
        </w:tc>
        <w:tc>
          <w:tcPr>
            <w:tcW w:w="498"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c>
          <w:tcPr>
            <w:tcW w:w="465"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c>
          <w:tcPr>
            <w:tcW w:w="417"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甲状腺彩色多普勒超声检查</w:t>
            </w:r>
          </w:p>
        </w:tc>
        <w:tc>
          <w:tcPr>
            <w:tcW w:w="2080" w:type="pct"/>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筛查甲状腺疾病</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颈动脉彩色多普勒超声检查</w:t>
            </w:r>
          </w:p>
        </w:tc>
        <w:tc>
          <w:tcPr>
            <w:tcW w:w="2080" w:type="pct"/>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了解中型动脉粥样硬化情况，预测冠脉粥样硬化风险</w:t>
            </w:r>
          </w:p>
        </w:tc>
        <w:tc>
          <w:tcPr>
            <w:tcW w:w="498"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肿瘤标记物（CEA+AFP)</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癌胚抗原、甲胎蛋白</w:t>
            </w:r>
          </w:p>
        </w:tc>
        <w:tc>
          <w:tcPr>
            <w:tcW w:w="498"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宫颈超薄细胞学检查（TCT）+</w:t>
            </w:r>
            <w:r>
              <w:rPr>
                <w:rFonts w:ascii="仿宋" w:hAnsi="仿宋" w:eastAsia="仿宋" w:cs="宋体"/>
                <w:kern w:val="0"/>
                <w:sz w:val="24"/>
              </w:rPr>
              <w:t>HPV</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了解宫颈细胞形态，筛查宫颈癌</w:t>
            </w:r>
          </w:p>
        </w:tc>
        <w:tc>
          <w:tcPr>
            <w:tcW w:w="498"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c>
          <w:tcPr>
            <w:tcW w:w="478" w:type="pct"/>
            <w:noWrap/>
            <w:vAlign w:val="center"/>
          </w:tcPr>
          <w:p>
            <w:pPr>
              <w:spacing w:line="276" w:lineRule="auto"/>
              <w:contextualSpacing/>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肿瘤标记物C</w:t>
            </w:r>
            <w:r>
              <w:rPr>
                <w:rFonts w:ascii="仿宋" w:hAnsi="仿宋" w:eastAsia="仿宋" w:cs="宋体"/>
                <w:kern w:val="0"/>
                <w:sz w:val="24"/>
              </w:rPr>
              <w:t>A125</w:t>
            </w:r>
          </w:p>
        </w:tc>
        <w:tc>
          <w:tcPr>
            <w:tcW w:w="2080" w:type="pct"/>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糖类抗原肿瘤标志物</w:t>
            </w:r>
          </w:p>
        </w:tc>
        <w:tc>
          <w:tcPr>
            <w:tcW w:w="498" w:type="pct"/>
            <w:noWrap/>
            <w:vAlign w:val="center"/>
          </w:tcPr>
          <w:p>
            <w:pPr>
              <w:spacing w:line="276" w:lineRule="auto"/>
              <w:contextualSpacing/>
              <w:jc w:val="center"/>
              <w:rPr>
                <w:rFonts w:ascii="仿宋" w:hAnsi="仿宋" w:eastAsia="仿宋"/>
                <w:sz w:val="24"/>
              </w:rPr>
            </w:pPr>
          </w:p>
        </w:tc>
        <w:tc>
          <w:tcPr>
            <w:tcW w:w="465"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p>
        </w:tc>
        <w:tc>
          <w:tcPr>
            <w:tcW w:w="478" w:type="pct"/>
            <w:noWrap/>
            <w:vAlign w:val="center"/>
          </w:tcPr>
          <w:p>
            <w:pPr>
              <w:spacing w:line="276" w:lineRule="auto"/>
              <w:contextualSpacing/>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肿瘤标记物C</w:t>
            </w:r>
            <w:r>
              <w:rPr>
                <w:rFonts w:ascii="仿宋" w:hAnsi="仿宋" w:eastAsia="仿宋" w:cs="宋体"/>
                <w:kern w:val="0"/>
                <w:sz w:val="24"/>
              </w:rPr>
              <w:t>A199</w:t>
            </w:r>
          </w:p>
        </w:tc>
        <w:tc>
          <w:tcPr>
            <w:tcW w:w="2080" w:type="pct"/>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糖类抗原肿瘤标志物</w:t>
            </w:r>
          </w:p>
        </w:tc>
        <w:tc>
          <w:tcPr>
            <w:tcW w:w="498" w:type="pct"/>
            <w:noWrap/>
            <w:vAlign w:val="center"/>
          </w:tcPr>
          <w:p>
            <w:pPr>
              <w:spacing w:line="276" w:lineRule="auto"/>
              <w:contextualSpacing/>
              <w:jc w:val="center"/>
              <w:rPr>
                <w:rFonts w:ascii="仿宋" w:hAnsi="仿宋" w:eastAsia="仿宋"/>
                <w:sz w:val="24"/>
              </w:rPr>
            </w:pPr>
          </w:p>
        </w:tc>
        <w:tc>
          <w:tcPr>
            <w:tcW w:w="465"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肿瘤标记物前列腺组合</w:t>
            </w:r>
          </w:p>
        </w:tc>
        <w:tc>
          <w:tcPr>
            <w:tcW w:w="2080" w:type="pct"/>
            <w:vAlign w:val="center"/>
          </w:tcPr>
          <w:p>
            <w:pPr>
              <w:spacing w:line="276" w:lineRule="auto"/>
              <w:contextualSpacing/>
              <w:jc w:val="center"/>
              <w:rPr>
                <w:rFonts w:ascii="仿宋" w:hAnsi="仿宋" w:eastAsia="仿宋" w:cs="宋体"/>
                <w:kern w:val="0"/>
                <w:sz w:val="24"/>
              </w:rPr>
            </w:pPr>
            <w:r>
              <w:rPr>
                <w:rFonts w:hint="eastAsia" w:ascii="仿宋" w:hAnsi="仿宋" w:eastAsia="仿宋" w:cs="宋体"/>
                <w:kern w:val="0"/>
                <w:sz w:val="24"/>
              </w:rPr>
              <w:t>T</w:t>
            </w:r>
            <w:r>
              <w:rPr>
                <w:rFonts w:ascii="仿宋" w:hAnsi="仿宋" w:eastAsia="仿宋" w:cs="宋体"/>
                <w:kern w:val="0"/>
                <w:sz w:val="24"/>
              </w:rPr>
              <w:t>PSA、FPSA</w:t>
            </w:r>
          </w:p>
        </w:tc>
        <w:tc>
          <w:tcPr>
            <w:tcW w:w="498" w:type="pct"/>
            <w:noWrap/>
            <w:vAlign w:val="center"/>
          </w:tcPr>
          <w:p>
            <w:pPr>
              <w:spacing w:line="276" w:lineRule="auto"/>
              <w:contextualSpacing/>
              <w:jc w:val="center"/>
              <w:rPr>
                <w:rFonts w:ascii="仿宋" w:hAnsi="仿宋" w:eastAsia="仿宋"/>
                <w:sz w:val="24"/>
              </w:rPr>
            </w:pPr>
          </w:p>
        </w:tc>
        <w:tc>
          <w:tcPr>
            <w:tcW w:w="465" w:type="pct"/>
            <w:noWrap/>
            <w:vAlign w:val="center"/>
          </w:tcPr>
          <w:p>
            <w:pPr>
              <w:spacing w:line="276" w:lineRule="auto"/>
              <w:contextualSpacing/>
              <w:jc w:val="center"/>
              <w:rPr>
                <w:rFonts w:ascii="仿宋" w:hAnsi="仿宋" w:eastAsia="仿宋" w:cs="宋体"/>
                <w:kern w:val="0"/>
                <w:sz w:val="24"/>
              </w:rPr>
            </w:pP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甲状腺功能七项</w:t>
            </w:r>
          </w:p>
        </w:tc>
        <w:tc>
          <w:tcPr>
            <w:tcW w:w="2080" w:type="pct"/>
            <w:vAlign w:val="center"/>
          </w:tcPr>
          <w:p>
            <w:pPr>
              <w:spacing w:line="276" w:lineRule="auto"/>
              <w:contextualSpacing/>
              <w:jc w:val="center"/>
              <w:rPr>
                <w:rFonts w:ascii="仿宋" w:hAnsi="仿宋" w:eastAsia="仿宋" w:cs="宋体"/>
                <w:kern w:val="0"/>
                <w:sz w:val="24"/>
              </w:rPr>
            </w:pPr>
            <w:bookmarkStart w:id="17" w:name="_GoBack"/>
            <w:bookmarkEnd w:id="17"/>
            <w:r>
              <w:rPr>
                <w:rFonts w:hint="eastAsia" w:ascii="仿宋" w:hAnsi="仿宋" w:eastAsia="仿宋" w:cs="宋体"/>
                <w:kern w:val="0"/>
                <w:sz w:val="24"/>
              </w:rPr>
              <w:t>FT3(游离T3)、FT4(游离T4)、TT3(三碘甲状腺原氨酸)、TT4（甲状腺素）、TPO-Ab（甲状腺过氧化物酶抗体）、TG-Ab（甲状腺球蛋白抗体）、TSH（超敏促甲状腺素）、</w:t>
            </w: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cs="宋体"/>
                <w:kern w:val="0"/>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61" w:type="pct"/>
            <w:noWrap/>
            <w:vAlign w:val="center"/>
          </w:tcPr>
          <w:p>
            <w:pPr>
              <w:widowControl/>
              <w:spacing w:line="276" w:lineRule="auto"/>
              <w:contextualSpacing/>
              <w:jc w:val="center"/>
              <w:rPr>
                <w:rFonts w:ascii="仿宋" w:hAnsi="仿宋" w:eastAsia="仿宋" w:cs="宋体"/>
                <w:kern w:val="0"/>
                <w:sz w:val="24"/>
              </w:rPr>
            </w:pPr>
            <w:r>
              <w:rPr>
                <w:rFonts w:hint="eastAsia" w:ascii="仿宋" w:hAnsi="仿宋" w:eastAsia="仿宋" w:cs="宋体"/>
                <w:kern w:val="0"/>
                <w:sz w:val="24"/>
              </w:rPr>
              <w:t>耗材</w:t>
            </w:r>
          </w:p>
        </w:tc>
        <w:tc>
          <w:tcPr>
            <w:tcW w:w="2080" w:type="pct"/>
            <w:vAlign w:val="center"/>
          </w:tcPr>
          <w:p>
            <w:pPr>
              <w:spacing w:line="276" w:lineRule="auto"/>
              <w:contextualSpacing/>
              <w:jc w:val="center"/>
              <w:rPr>
                <w:rFonts w:ascii="仿宋" w:hAnsi="仿宋" w:eastAsia="仿宋" w:cs="宋体"/>
                <w:kern w:val="0"/>
                <w:sz w:val="24"/>
              </w:rPr>
            </w:pPr>
          </w:p>
        </w:tc>
        <w:tc>
          <w:tcPr>
            <w:tcW w:w="49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65"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17"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c>
          <w:tcPr>
            <w:tcW w:w="478" w:type="pct"/>
            <w:noWrap/>
            <w:vAlign w:val="center"/>
          </w:tcPr>
          <w:p>
            <w:pPr>
              <w:spacing w:line="276" w:lineRule="auto"/>
              <w:contextualSpacing/>
              <w:jc w:val="center"/>
              <w:rPr>
                <w:rFonts w:ascii="仿宋" w:hAnsi="仿宋" w:eastAsia="仿宋"/>
                <w:sz w:val="24"/>
              </w:rPr>
            </w:pPr>
            <w:r>
              <w:rPr>
                <w:rFonts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61" w:type="pct"/>
            <w:noWrap/>
            <w:vAlign w:val="center"/>
          </w:tcPr>
          <w:p>
            <w:pPr>
              <w:widowControl/>
              <w:spacing w:line="276" w:lineRule="auto"/>
              <w:contextualSpacing/>
              <w:jc w:val="center"/>
              <w:rPr>
                <w:rFonts w:ascii="仿宋" w:hAnsi="仿宋" w:eastAsia="仿宋" w:cs="宋体"/>
                <w:b/>
                <w:kern w:val="0"/>
                <w:sz w:val="24"/>
              </w:rPr>
            </w:pPr>
            <w:r>
              <w:rPr>
                <w:rFonts w:hint="eastAsia" w:ascii="仿宋" w:hAnsi="仿宋" w:eastAsia="仿宋" w:cs="宋体"/>
                <w:b/>
                <w:kern w:val="0"/>
                <w:sz w:val="24"/>
              </w:rPr>
              <w:t>合计</w:t>
            </w:r>
          </w:p>
        </w:tc>
        <w:tc>
          <w:tcPr>
            <w:tcW w:w="2080" w:type="pct"/>
            <w:vAlign w:val="center"/>
          </w:tcPr>
          <w:p>
            <w:pPr>
              <w:spacing w:line="276" w:lineRule="auto"/>
              <w:contextualSpacing/>
              <w:jc w:val="left"/>
              <w:rPr>
                <w:rFonts w:ascii="仿宋" w:hAnsi="仿宋" w:eastAsia="仿宋" w:cs="宋体"/>
                <w:b/>
                <w:kern w:val="0"/>
                <w:sz w:val="24"/>
              </w:rPr>
            </w:pPr>
          </w:p>
        </w:tc>
        <w:tc>
          <w:tcPr>
            <w:tcW w:w="498" w:type="pct"/>
            <w:noWrap/>
            <w:vAlign w:val="center"/>
          </w:tcPr>
          <w:p>
            <w:pPr>
              <w:spacing w:line="276" w:lineRule="auto"/>
              <w:contextualSpacing/>
              <w:jc w:val="center"/>
              <w:rPr>
                <w:rFonts w:ascii="仿宋" w:hAnsi="仿宋" w:eastAsia="仿宋"/>
                <w:b/>
                <w:sz w:val="24"/>
              </w:rPr>
            </w:pPr>
          </w:p>
        </w:tc>
        <w:tc>
          <w:tcPr>
            <w:tcW w:w="465" w:type="pct"/>
            <w:noWrap/>
            <w:vAlign w:val="center"/>
          </w:tcPr>
          <w:p>
            <w:pPr>
              <w:spacing w:line="276" w:lineRule="auto"/>
              <w:contextualSpacing/>
              <w:jc w:val="center"/>
              <w:rPr>
                <w:rFonts w:ascii="仿宋" w:hAnsi="仿宋" w:eastAsia="仿宋"/>
                <w:b/>
                <w:sz w:val="24"/>
              </w:rPr>
            </w:pPr>
          </w:p>
        </w:tc>
        <w:tc>
          <w:tcPr>
            <w:tcW w:w="417" w:type="pct"/>
            <w:noWrap/>
            <w:vAlign w:val="center"/>
          </w:tcPr>
          <w:p>
            <w:pPr>
              <w:spacing w:line="276" w:lineRule="auto"/>
              <w:contextualSpacing/>
              <w:jc w:val="center"/>
              <w:rPr>
                <w:rFonts w:ascii="仿宋" w:hAnsi="仿宋" w:eastAsia="仿宋"/>
                <w:b/>
                <w:sz w:val="24"/>
              </w:rPr>
            </w:pPr>
          </w:p>
        </w:tc>
        <w:tc>
          <w:tcPr>
            <w:tcW w:w="478" w:type="pct"/>
            <w:noWrap/>
            <w:vAlign w:val="center"/>
          </w:tcPr>
          <w:p>
            <w:pPr>
              <w:spacing w:line="276" w:lineRule="auto"/>
              <w:contextualSpacing/>
              <w:jc w:val="center"/>
              <w:rPr>
                <w:rFonts w:ascii="仿宋" w:hAnsi="仿宋" w:eastAsia="仿宋"/>
                <w:b/>
                <w:sz w:val="24"/>
              </w:rPr>
            </w:pPr>
          </w:p>
        </w:tc>
      </w:tr>
      <w:bookmarkEnd w:id="11"/>
      <w:bookmarkEnd w:id="12"/>
    </w:tbl>
    <w:p>
      <w:pPr>
        <w:pStyle w:val="7"/>
        <w:spacing w:line="360" w:lineRule="auto"/>
        <w:ind w:firstLine="482"/>
        <w:contextualSpacing/>
        <w:rPr>
          <w:rFonts w:ascii="仿宋" w:hAnsi="仿宋" w:eastAsia="仿宋"/>
          <w:b/>
        </w:rPr>
      </w:pPr>
      <w:r>
        <w:rPr>
          <w:rFonts w:hint="eastAsia" w:ascii="仿宋" w:hAnsi="仿宋" w:eastAsia="仿宋"/>
          <w:b/>
        </w:rPr>
        <w:t>2.4.3.22、投标人需按照项目明细单表报出</w:t>
      </w:r>
      <w:bookmarkStart w:id="15" w:name="OLE_LINK48"/>
      <w:bookmarkStart w:id="16" w:name="OLE_LINK49"/>
      <w:r>
        <w:rPr>
          <w:rFonts w:hint="eastAsia" w:ascii="仿宋" w:hAnsi="仿宋" w:eastAsia="仿宋"/>
          <w:b/>
        </w:rPr>
        <w:t>≤40岁女职工、＞40岁女职工、≤45岁男职工、＞45岁男职工的单价</w:t>
      </w:r>
      <w:bookmarkEnd w:id="15"/>
      <w:bookmarkEnd w:id="16"/>
      <w:r>
        <w:rPr>
          <w:rFonts w:hint="eastAsia" w:ascii="仿宋" w:hAnsi="仿宋" w:eastAsia="仿宋"/>
          <w:b/>
        </w:rPr>
        <w:t>。</w:t>
      </w:r>
    </w:p>
    <w:p>
      <w:pPr>
        <w:pStyle w:val="7"/>
        <w:spacing w:line="360" w:lineRule="auto"/>
        <w:ind w:firstLine="482"/>
        <w:rPr>
          <w:rFonts w:ascii="仿宋" w:hAnsi="仿宋" w:eastAsia="仿宋"/>
          <w:bCs/>
        </w:rPr>
      </w:pPr>
    </w:p>
    <w:p>
      <w:pPr>
        <w:widowControl/>
        <w:snapToGrid w:val="0"/>
        <w:spacing w:line="360" w:lineRule="auto"/>
        <w:ind w:firstLine="482" w:firstLineChars="200"/>
        <w:contextualSpacing/>
        <w:rPr>
          <w:rFonts w:ascii="仿宋" w:hAnsi="仿宋" w:eastAsia="仿宋" w:cs="仿宋"/>
          <w:b/>
          <w:sz w:val="24"/>
        </w:rPr>
      </w:pPr>
      <w:r>
        <w:rPr>
          <w:rFonts w:hint="eastAsia" w:ascii="仿宋" w:hAnsi="仿宋" w:eastAsia="仿宋" w:cs="仿宋"/>
          <w:b/>
          <w:sz w:val="24"/>
        </w:rPr>
        <w:t>2.5 需由投标人提供设计方案、解决方案或者组织方案的采购项目，应当说明采购标的的功能、应用场景、目标等基本要求</w:t>
      </w:r>
    </w:p>
    <w:p>
      <w:pPr>
        <w:pStyle w:val="7"/>
        <w:spacing w:line="360" w:lineRule="auto"/>
        <w:rPr>
          <w:color w:val="000000" w:themeColor="text1"/>
          <w14:textFill>
            <w14:solidFill>
              <w14:schemeClr w14:val="tx1"/>
            </w14:solidFill>
          </w14:textFill>
        </w:rPr>
      </w:pPr>
      <w:r>
        <w:rPr>
          <w:rFonts w:hint="eastAsia" w:ascii="仿宋" w:hAnsi="仿宋" w:eastAsia="仿宋"/>
        </w:rPr>
        <w:t>投标人需按照招标文件要求提供</w:t>
      </w:r>
      <w:r>
        <w:rPr>
          <w:rFonts w:hint="eastAsia" w:ascii="仿宋" w:hAnsi="仿宋" w:eastAsia="仿宋"/>
          <w:color w:val="000000" w:themeColor="text1"/>
          <w14:textFill>
            <w14:solidFill>
              <w14:schemeClr w14:val="tx1"/>
            </w14:solidFill>
          </w14:textFill>
        </w:rPr>
        <w:t>需求理解和服务质量保证措施、项目整体服务方案、体检流程方案、拟投入设备情况、技术力量、应急事件处理预案、售后服务方案和拟投入医生团队等。</w:t>
      </w:r>
    </w:p>
    <w:p>
      <w:pPr>
        <w:pStyle w:val="7"/>
      </w:pPr>
    </w:p>
    <w:p>
      <w:pPr>
        <w:spacing w:line="360" w:lineRule="auto"/>
        <w:ind w:firstLine="480"/>
        <w:rPr>
          <w:rFonts w:ascii="仿宋" w:hAnsi="仿宋" w:eastAsia="仿宋" w:cs="Arial"/>
          <w:b/>
          <w:sz w:val="24"/>
        </w:rPr>
      </w:pPr>
      <w:r>
        <w:rPr>
          <w:rFonts w:hint="eastAsia" w:ascii="仿宋" w:hAnsi="仿宋" w:eastAsia="仿宋" w:cs="Arial"/>
          <w:b/>
          <w:sz w:val="24"/>
        </w:rPr>
        <w:t>3.验收标准</w:t>
      </w:r>
    </w:p>
    <w:p>
      <w:pPr>
        <w:pStyle w:val="7"/>
        <w:spacing w:line="360" w:lineRule="auto"/>
        <w:ind w:firstLine="482"/>
        <w:rPr>
          <w:rFonts w:ascii="仿宋" w:hAnsi="仿宋" w:eastAsia="仿宋"/>
          <w:bCs/>
        </w:rPr>
      </w:pPr>
      <w:r>
        <w:rPr>
          <w:rFonts w:hint="eastAsia" w:ascii="仿宋" w:hAnsi="仿宋" w:eastAsia="仿宋"/>
          <w:bCs/>
        </w:rPr>
        <w:t>无。</w:t>
      </w:r>
    </w:p>
    <w:p>
      <w:pPr>
        <w:pStyle w:val="7"/>
        <w:spacing w:line="360" w:lineRule="auto"/>
        <w:ind w:firstLine="482"/>
        <w:rPr>
          <w:rFonts w:ascii="仿宋" w:hAnsi="仿宋" w:eastAsia="仿宋"/>
          <w:bCs/>
        </w:rPr>
      </w:pPr>
    </w:p>
    <w:p>
      <w:pPr>
        <w:snapToGrid w:val="0"/>
        <w:spacing w:line="540" w:lineRule="exact"/>
        <w:jc w:val="center"/>
        <w:outlineLvl w:val="0"/>
        <w:rPr>
          <w:rFonts w:hint="default"/>
          <w:b/>
          <w:sz w:val="36"/>
          <w:szCs w:val="36"/>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53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14A26D8F"/>
    <w:rsid w:val="16545117"/>
    <w:rsid w:val="1726356D"/>
    <w:rsid w:val="394D2B6F"/>
    <w:rsid w:val="3F3E6946"/>
    <w:rsid w:val="3F71347F"/>
    <w:rsid w:val="4B7E2B6C"/>
    <w:rsid w:val="521073DB"/>
    <w:rsid w:val="5D9D153B"/>
    <w:rsid w:val="5E240131"/>
    <w:rsid w:val="685A6F6C"/>
    <w:rsid w:val="6DA01CBF"/>
    <w:rsid w:val="6FF65CE1"/>
    <w:rsid w:val="70F013FA"/>
    <w:rsid w:val="774638A7"/>
    <w:rsid w:val="79A40E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ind w:left="11" w:right="125"/>
      <w:jc w:val="center"/>
      <w:outlineLvl w:val="0"/>
    </w:pPr>
    <w:rPr>
      <w:rFonts w:ascii="Times New Roman" w:hAnsi="Times New Roman"/>
      <w:sz w:val="36"/>
      <w:szCs w:val="84"/>
    </w:rPr>
  </w:style>
  <w:style w:type="paragraph" w:styleId="5">
    <w:name w:val="heading 2"/>
    <w:basedOn w:val="1"/>
    <w:next w:val="1"/>
    <w:unhideWhenUsed/>
    <w:qFormat/>
    <w:uiPriority w:val="9"/>
    <w:pPr>
      <w:outlineLvl w:val="1"/>
    </w:pPr>
    <w:rPr>
      <w:rFonts w:ascii="Times New Roman" w:hAnsi="Times New Roman"/>
      <w:b/>
      <w:szCs w:val="52"/>
    </w:rPr>
  </w:style>
  <w:style w:type="paragraph" w:styleId="6">
    <w:name w:val="heading 3"/>
    <w:basedOn w:val="1"/>
    <w:next w:val="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styleId="7">
    <w:name w:val="Normal Indent"/>
    <w:basedOn w:val="1"/>
    <w:qFormat/>
    <w:uiPriority w:val="0"/>
    <w:pPr>
      <w:autoSpaceDE w:val="0"/>
      <w:autoSpaceDN w:val="0"/>
      <w:adjustRightInd w:val="0"/>
      <w:ind w:firstLine="420"/>
      <w:jc w:val="left"/>
    </w:pPr>
    <w:rPr>
      <w:rFonts w:ascii="宋体"/>
      <w:sz w:val="24"/>
    </w:rPr>
  </w:style>
  <w:style w:type="paragraph" w:styleId="8">
    <w:name w:val="annotation text"/>
    <w:basedOn w:val="1"/>
    <w:qFormat/>
    <w:uiPriority w:val="99"/>
    <w:pPr>
      <w:jc w:val="left"/>
    </w:pPr>
  </w:style>
  <w:style w:type="paragraph" w:styleId="9">
    <w:name w:val="Body Text"/>
    <w:basedOn w:val="1"/>
    <w:qFormat/>
    <w:uiPriority w:val="99"/>
    <w:pPr>
      <w:tabs>
        <w:tab w:val="left" w:pos="567"/>
      </w:tabs>
      <w:spacing w:before="120" w:line="22" w:lineRule="atLeast"/>
    </w:pPr>
    <w:rPr>
      <w:rFonts w:ascii="宋体" w:hAnsi="宋体"/>
      <w:sz w:val="24"/>
    </w:rPr>
  </w:style>
  <w:style w:type="paragraph" w:styleId="10">
    <w:name w:val="Plain Text"/>
    <w:basedOn w:val="1"/>
    <w:qFormat/>
    <w:uiPriority w:val="0"/>
    <w:rPr>
      <w:rFonts w:hint="eastAsia" w:ascii="宋体" w:hAnsi="Courier New"/>
      <w:szCs w:val="20"/>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39"/>
    <w:pPr>
      <w:tabs>
        <w:tab w:val="right" w:leader="dot" w:pos="8937"/>
      </w:tabs>
      <w:spacing w:line="312" w:lineRule="auto"/>
      <w:ind w:left="420" w:leftChars="200"/>
    </w:p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7">
    <w:name w:val="page number"/>
    <w:qFormat/>
    <w:uiPriority w:val="0"/>
  </w:style>
  <w:style w:type="character" w:styleId="18">
    <w:name w:val="annotation reference"/>
    <w:basedOn w:val="16"/>
    <w:qFormat/>
    <w:uiPriority w:val="99"/>
    <w:rPr>
      <w:sz w:val="21"/>
      <w:szCs w:val="21"/>
    </w:rPr>
  </w:style>
  <w:style w:type="paragraph" w:customStyle="1" w:styleId="19">
    <w:name w:val="SOW正文"/>
    <w:basedOn w:val="1"/>
    <w:qFormat/>
    <w:uiPriority w:val="0"/>
    <w:pPr>
      <w:snapToGrid w:val="0"/>
      <w:spacing w:before="120" w:line="400" w:lineRule="exact"/>
      <w:ind w:firstLine="425"/>
    </w:pPr>
    <w:rPr>
      <w:rFonts w:ascii="Times New Roman" w:hAnsi="Times New Roman"/>
      <w:sz w:val="24"/>
      <w:szCs w:val="20"/>
    </w:rPr>
  </w:style>
  <w:style w:type="paragraph" w:styleId="20">
    <w:name w:val="List Paragraph"/>
    <w:basedOn w:val="1"/>
    <w:qFormat/>
    <w:uiPriority w:val="34"/>
    <w:pPr>
      <w:ind w:firstLine="420" w:firstLineChars="200"/>
    </w:pPr>
    <w:rPr>
      <w:rFonts w:cs="Times New Roman"/>
      <w:szCs w:val="22"/>
    </w:rPr>
  </w:style>
  <w:style w:type="paragraph" w:customStyle="1" w:styleId="21">
    <w:name w:val="列出段落1"/>
    <w:basedOn w:val="1"/>
    <w:qFormat/>
    <w:uiPriority w:val="34"/>
    <w:pPr>
      <w:autoSpaceDE/>
      <w:autoSpaceDN/>
      <w:spacing w:line="240" w:lineRule="auto"/>
      <w:ind w:firstLine="420" w:firstLineChars="200"/>
      <w:jc w:val="both"/>
    </w:pPr>
    <w:rPr>
      <w:rFonts w:ascii="Calibri" w:hAnsi="Calibri" w:cs="Times New Roman"/>
      <w:kern w:val="2"/>
      <w:sz w:val="21"/>
    </w:rPr>
  </w:style>
  <w:style w:type="paragraph" w:customStyle="1" w:styleId="22">
    <w:name w:val="列出段落11"/>
    <w:basedOn w:val="1"/>
    <w:qFormat/>
    <w:uiPriority w:val="34"/>
    <w:pPr>
      <w:autoSpaceDE/>
      <w:autoSpaceDN/>
      <w:spacing w:line="240" w:lineRule="auto"/>
      <w:ind w:firstLine="420" w:firstLineChars="200"/>
      <w:jc w:val="both"/>
    </w:pPr>
    <w:rPr>
      <w:rFonts w:ascii="Calibri" w:hAnsi="Calibri" w:cs="Times New Roman"/>
      <w:kern w:val="2"/>
      <w:sz w:val="21"/>
    </w:rPr>
  </w:style>
  <w:style w:type="paragraph" w:customStyle="1" w:styleId="23">
    <w:name w:val="_Style 269"/>
    <w:basedOn w:val="1"/>
    <w:next w:val="20"/>
    <w:qFormat/>
    <w:uiPriority w:val="34"/>
    <w:pPr>
      <w:autoSpaceDE/>
      <w:autoSpaceDN/>
      <w:spacing w:line="240" w:lineRule="auto"/>
      <w:ind w:firstLine="420" w:firstLineChars="200"/>
      <w:jc w:val="both"/>
    </w:pPr>
    <w:rPr>
      <w:rFonts w:ascii="Calibri" w:hAnsi="Calibri"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2026-06-18T08:42:39Z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