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ascii="Times New Roman" w:hAnsi="Times New Roman"/>
          <w:b/>
          <w:bCs/>
          <w:sz w:val="36"/>
        </w:rPr>
        <w:t>首都医科大学附属首都儿童医学中心医院</w:t>
      </w:r>
      <w:r>
        <w:rPr>
          <w:rFonts w:hint="eastAsia" w:ascii="Times New Roman" w:hAnsi="Times New Roman"/>
          <w:b/>
          <w:bCs/>
          <w:sz w:val="36"/>
          <w:lang w:val="en-US" w:eastAsia="zh-CN"/>
        </w:rPr>
        <w:t xml:space="preserve">          重症监护病房及新生儿病房、病房手术室、CCU、门诊手术室净化空调更新</w:t>
      </w:r>
      <w:r>
        <w:rPr>
          <w:rFonts w:hint="eastAsia" w:ascii="Times New Roman" w:hAnsi="Times New Roman"/>
          <w:b/>
          <w:bCs/>
          <w:sz w:val="36"/>
          <w:szCs w:val="24"/>
        </w:rPr>
        <w:t>项目</w:t>
      </w:r>
      <w:r>
        <w:rPr>
          <w:rFonts w:hint="eastAsia"/>
          <w:b/>
          <w:bCs/>
          <w:sz w:val="36"/>
          <w:szCs w:val="44"/>
          <w:lang w:val="en-US" w:eastAsia="zh-CN"/>
        </w:rPr>
        <w:t>采购需求</w:t>
      </w:r>
    </w:p>
    <w:p>
      <w:pPr>
        <w:pStyle w:val="17"/>
        <w:numPr>
          <w:ilvl w:val="0"/>
          <w:numId w:val="1"/>
        </w:numPr>
        <w:tabs>
          <w:tab w:val="left" w:pos="7980"/>
        </w:tabs>
        <w:snapToGrid/>
        <w:spacing w:before="0" w:line="360" w:lineRule="auto"/>
        <w:ind w:firstLine="0"/>
        <w:rPr>
          <w:rFonts w:ascii="Times New Roman" w:hAnsi="Times New Roman" w:eastAsia="宋体"/>
          <w:b/>
          <w:highlight w:val="none"/>
        </w:rPr>
      </w:pPr>
      <w:r>
        <w:rPr>
          <w:rFonts w:ascii="Times New Roman" w:hAnsi="Times New Roman" w:eastAsia="宋体"/>
          <w:b/>
          <w:highlight w:val="none"/>
        </w:rPr>
        <w:t>采购标的需实现的功能或者目标</w:t>
      </w:r>
    </w:p>
    <w:p>
      <w:pPr>
        <w:pStyle w:val="17"/>
        <w:numPr>
          <w:numId w:val="0"/>
        </w:numPr>
        <w:tabs>
          <w:tab w:val="left" w:pos="7980"/>
        </w:tabs>
        <w:snapToGrid/>
        <w:spacing w:before="0" w:line="360" w:lineRule="auto"/>
        <w:rPr>
          <w:rFonts w:ascii="Times New Roman" w:hAnsi="Times New Roman" w:eastAsia="宋体"/>
          <w:b/>
          <w:highlight w:val="none"/>
        </w:rPr>
      </w:pP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二、</w:t>
      </w:r>
      <w:r>
        <w:rPr>
          <w:rFonts w:ascii="Times New Roman" w:hAnsi="Times New Roman" w:eastAsia="宋体"/>
          <w:b/>
          <w:highlight w:val="none"/>
        </w:rPr>
        <w:t>采购标的需执行的国家相关标准、行业标准、地方标准或者其他标准、规范</w:t>
      </w:r>
    </w:p>
    <w:p>
      <w:pPr>
        <w:pStyle w:val="17"/>
        <w:spacing w:before="0" w:line="360" w:lineRule="auto"/>
        <w:rPr>
          <w:rFonts w:ascii="Times New Roman" w:hAnsi="Times New Roman" w:eastAsia="宋体"/>
          <w:bCs/>
          <w:highlight w:val="none"/>
        </w:rPr>
      </w:pPr>
      <w:r>
        <w:rPr>
          <w:rFonts w:hint="eastAsia" w:ascii="Times New Roman" w:hAnsi="Times New Roman" w:eastAsia="宋体"/>
          <w:bCs/>
          <w:highlight w:val="none"/>
        </w:rPr>
        <w:t>投标产品的包装应符合《财政部等三部门联合印发商品包装和快递包装政府采购需求标准（试行）》（财办库〔2020〕123号）的规定。</w:t>
      </w: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三、采购标的的数量、采购项目交付或者实施的时间和地点</w:t>
      </w:r>
    </w:p>
    <w:p>
      <w:pPr>
        <w:pStyle w:val="17"/>
        <w:snapToGrid/>
        <w:spacing w:before="0" w:line="360" w:lineRule="auto"/>
        <w:ind w:left="480" w:firstLine="0"/>
        <w:rPr>
          <w:rFonts w:ascii="Times New Roman" w:hAnsi="Times New Roman" w:eastAsia="宋体"/>
          <w:b/>
          <w:highlight w:val="none"/>
        </w:rPr>
      </w:pPr>
      <w:bookmarkStart w:id="0" w:name="_GoBack"/>
      <w:bookmarkEnd w:id="0"/>
    </w:p>
    <w:p>
      <w:pPr>
        <w:pStyle w:val="17"/>
        <w:snapToGrid/>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（二）采购项目交付或者实施的时间和地点：</w:t>
      </w:r>
    </w:p>
    <w:p>
      <w:pPr>
        <w:tabs>
          <w:tab w:val="left" w:pos="900"/>
        </w:tabs>
        <w:autoSpaceDE/>
        <w:autoSpaceDN/>
        <w:spacing w:after="0"/>
        <w:ind w:firstLine="420" w:firstLineChars="200"/>
        <w:rPr>
          <w:rFonts w:ascii="Times New Roman" w:hAnsi="Times New Roman"/>
          <w:szCs w:val="24"/>
          <w:highlight w:val="none"/>
          <w:u w:val="single"/>
        </w:rPr>
      </w:pPr>
      <w:r>
        <w:rPr>
          <w:rFonts w:ascii="Times New Roman" w:hAnsi="Times New Roman"/>
          <w:szCs w:val="24"/>
          <w:highlight w:val="none"/>
        </w:rPr>
        <w:t>1</w:t>
      </w:r>
      <w:r>
        <w:rPr>
          <w:rFonts w:hint="eastAsia" w:ascii="Times New Roman" w:hAnsi="Times New Roman"/>
          <w:szCs w:val="24"/>
          <w:highlight w:val="none"/>
        </w:rPr>
        <w:t>、采购项目（标的）交付的时间（服务期限）：交付的时间为首都医科大学附属首都儿童医学中心指定时间，服务期限</w:t>
      </w:r>
      <w:r>
        <w:rPr>
          <w:rFonts w:ascii="Times New Roman" w:hAnsi="Times New Roman"/>
          <w:szCs w:val="24"/>
          <w:highlight w:val="none"/>
        </w:rPr>
        <w:t>一</w:t>
      </w:r>
      <w:r>
        <w:rPr>
          <w:rFonts w:hint="eastAsia" w:ascii="Times New Roman" w:hAnsi="Times New Roman"/>
          <w:szCs w:val="24"/>
          <w:highlight w:val="none"/>
        </w:rPr>
        <w:t>年。</w:t>
      </w:r>
    </w:p>
    <w:p>
      <w:pPr>
        <w:tabs>
          <w:tab w:val="left" w:pos="900"/>
        </w:tabs>
        <w:autoSpaceDE/>
        <w:autoSpaceDN/>
        <w:spacing w:after="0"/>
        <w:ind w:firstLine="420" w:firstLineChars="200"/>
        <w:rPr>
          <w:rFonts w:ascii="Times New Roman" w:hAnsi="Times New Roman"/>
          <w:b/>
          <w:szCs w:val="24"/>
          <w:highlight w:val="none"/>
        </w:rPr>
      </w:pPr>
      <w:r>
        <w:rPr>
          <w:rFonts w:hint="eastAsia" w:ascii="Times New Roman" w:hAnsi="Times New Roman"/>
          <w:szCs w:val="24"/>
          <w:highlight w:val="none"/>
        </w:rPr>
        <w:t>2、采购项目（标的）交付的地点（服务地点）：首都医科大学附属首都儿童医学中心指定地点。</w:t>
      </w:r>
    </w:p>
    <w:p>
      <w:pPr>
        <w:pStyle w:val="17"/>
        <w:spacing w:before="0" w:line="360" w:lineRule="auto"/>
        <w:ind w:firstLine="0"/>
        <w:rPr>
          <w:rFonts w:ascii="Times New Roman" w:hAnsi="Times New Roman" w:eastAsia="宋体"/>
          <w:b/>
          <w:highlight w:val="none"/>
        </w:rPr>
      </w:pPr>
      <w:r>
        <w:rPr>
          <w:rFonts w:hint="eastAsia" w:ascii="Times New Roman" w:hAnsi="Times New Roman" w:eastAsia="宋体"/>
          <w:b/>
          <w:highlight w:val="none"/>
        </w:rPr>
        <w:t>四、采购标的需满足的服务标准、期限、效率等要求</w:t>
      </w: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（一）采购标的需满足的服务标准、效率要求（以各包技术规格中要求为准，如技术规格中无要求，则以本款要求为准。）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1．交货要求：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1.1 交货期：所有货物自收到订单之日起25日内到货。</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1.2 交货时间、地点与方式：根据采购人交货时间需求，由投标人派专人送到指定地点。配合接收人员完成产品的运输、清点、装卸等，并协助接收人员放置入库。</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2．保险事宜：由投标人承担。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3．验收方式：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3.1 货物到达采购人指定地点后，由采购人及投标人双方人员共同验收签字。投标人交接货物时应提供红章检验报告书和随货同行的出库单。</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3.2 投标人应保证货物到达采购人所在地完好无损，如有缺漏、损坏，由投标人负责调换、补齐或赔偿。</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3.3 退（换）货的印字包装材料需在采购人监督下由投标人负责销毁后退回；使用过程中发现的不符合质量标准的部分产品，投标人应负责更换或退货。更换货时间自采购人提出异议之日起十个工作日内，具体时间由双方协商，所发生费用由投标人承担；如发生退货，采购人有权选择原订货价或退货时的订货价作为退货价格与投标人结算。</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4．报价要求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4.1 本次报价须为人民币报价，投标报价包括但不仅限于：所有物料费、包装费运费、装卸费(落地交货)、拆卸及恢复费、仓储费、检验、风险费、过程伴随服务费、第三方检测费、保险费、税费等为完成本项目所产生的其他任何费用。因投标人自身原因造成漏报、少报皆由其自行承担责任，采购人不再补偿。采购人列出的暂估价投标人投标时不得做修改，否则按废标处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 采购数量为预计年用量，根据实际发生结算，中标后按中标价格供应，不随数量变化而发生价格变动。中标后，确因原材料价格上涨，需要调高价格的，须经采购人书面同意。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5．产品质量要求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5.1 投标人需提供制造商执行的法定标准或内控技术标准。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5.2 在采购人验收、使用过程中发现产品存在质量问题，投标人应根据实际情况及时予以无偿更换产品。</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5.3 印字包材：应符合双方签订的实样标准。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5.4 直接接触药品包材：</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①投标人需提供直接接触药品包材制造商执行的产品法定标准或内控技术标准。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②国家药品监督管理局药品审评中心网站登记，且与制剂共同审评审批结果为“A”。</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③投标人需提供直接接触药品包材产品应有符合资质的第三方出具的全检报告书。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6．付款方式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按次付款：每批标的物货到验收合格且收到投标人提交的足额发票后，180日内支付货款。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7．其他</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7.1 投标人必须在投标文件中对以上条款和服务承诺明确列出，承诺内容必须达到本篇及招标文件其他条款的要求。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7.2 其他未尽事宜由供需双方在采购合同中详细约定。</w:t>
      </w: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（二）采购标的需满足的服务期限要求</w:t>
      </w:r>
    </w:p>
    <w:p>
      <w:pPr>
        <w:tabs>
          <w:tab w:val="left" w:pos="900"/>
        </w:tabs>
        <w:autoSpaceDE/>
        <w:autoSpaceDN/>
        <w:spacing w:after="0"/>
        <w:ind w:firstLine="420" w:firstLineChars="200"/>
        <w:rPr>
          <w:rFonts w:ascii="Times New Roman" w:hAnsi="Times New Roman"/>
          <w:szCs w:val="24"/>
          <w:highlight w:val="none"/>
        </w:rPr>
      </w:pPr>
      <w:r>
        <w:rPr>
          <w:rFonts w:hint="eastAsia" w:ascii="Times New Roman" w:hAnsi="Times New Roman"/>
          <w:szCs w:val="24"/>
          <w:highlight w:val="none"/>
        </w:rPr>
        <w:t>服务期限：自合同签订之日起一年。</w:t>
      </w:r>
    </w:p>
    <w:p>
      <w:pPr>
        <w:pStyle w:val="17"/>
        <w:spacing w:before="0" w:line="360" w:lineRule="auto"/>
        <w:ind w:left="480" w:firstLine="0"/>
        <w:rPr>
          <w:rFonts w:ascii="Times New Roman" w:hAnsi="Times New Roman" w:eastAsia="宋体"/>
          <w:b/>
          <w:highlight w:val="none"/>
        </w:rPr>
      </w:pPr>
      <w:r>
        <w:rPr>
          <w:rFonts w:hint="eastAsia" w:ascii="Times New Roman" w:hAnsi="Times New Roman" w:eastAsia="宋体"/>
          <w:b/>
          <w:highlight w:val="none"/>
        </w:rPr>
        <w:t>五、采购标的物验收标准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包装材料首次采购前需给医院送样审核、备案，印字包材需打样，并由双方签样确认，此后包装材料验收质量应与留样一致。</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物料送货前，投标人应当进行物料自检，自检合格后向采购人出厂验收申请，验收合格后采购人方可入库。物料验收不合格，合同采购人有权拒收货物和解除采购合同，由此造成的损失，由投标人承担。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将物料在规定的时间内配送到院方指定的交货地点后，按照院方的申请定单，共同核对货物包装、标签、外观、数量以及检验报告书、随货同行单等。采购人与投标人共同交付验收。物料验收过程中，投标人可有 1 次整改机会，若第一次检验未通过，合同采购人将通知投标人限期重新组织货源，整改后进行第二次检验，检验合格后投标人方可入库。若第二次检验仍未通过的，合同投标人有权取消或解除采购合同，由此造成的损失，由投标人承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验收入库后，支持医院有关人员随时进行包装材料质量抽查，若遇到质量问题，应按照医院有关规定处罚。</w:t>
      </w:r>
    </w:p>
    <w:p>
      <w:pPr>
        <w:pStyle w:val="7"/>
        <w:spacing w:after="0"/>
        <w:jc w:val="left"/>
        <w:rPr>
          <w:rFonts w:hint="default" w:ascii="Times New Roman" w:hAnsi="Times New Roman"/>
          <w:b/>
          <w:sz w:val="24"/>
          <w:szCs w:val="24"/>
          <w:highlight w:val="none"/>
          <w:lang w:eastAsia="zh-CN"/>
        </w:rPr>
      </w:pPr>
    </w:p>
    <w:p>
      <w:pPr>
        <w:tabs>
          <w:tab w:val="left" w:pos="900"/>
        </w:tabs>
        <w:autoSpaceDE/>
        <w:autoSpaceDN/>
        <w:spacing w:after="0"/>
        <w:rPr>
          <w:rFonts w:ascii="Times New Roman" w:hAnsi="Times New Roman"/>
          <w:b/>
          <w:szCs w:val="24"/>
          <w:highlight w:val="none"/>
        </w:rPr>
      </w:pPr>
      <w:r>
        <w:rPr>
          <w:rFonts w:hint="eastAsia" w:ascii="Times New Roman" w:hAnsi="Times New Roman"/>
          <w:b/>
          <w:szCs w:val="24"/>
          <w:highlight w:val="none"/>
        </w:rPr>
        <w:t>六、采购标的的其他技术、服务等要求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需按照招标文件要求提供整体服务方案及质量保障体系、仓储服务能力、配送及包装服务能力、信息化管理实施服务方案、服务承诺和保障措施、应急预案、项目配备人员和售后服务方案等。且投标人应能够在项目所在地设立售后服务机构，设有专人支持本项服务。</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（一）售后服务要求（需提供包括但不限于以下内容的售后服务）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1、设立专项售后服务机构，设有专人支持本项服务，按采购人要求及时妥善处理。售后相关事宜投标人对所提供的货物，因产品质量缺陷或运输过程当中的破损，必须免费提供包换、包退服务。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2、分批次供货：投标人按采购人实际需要分批次供货，具体的供货数量、供货日期以采购人的供货通知为准，到货后协助采购人完成货物数量清点工作。</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3、产品质量问题按照合同约定执行。</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若在采购人使用过程中发现投标人所提供的产品不符合质量标准，如近效期3个月之内的物料，或在库和使用的任何阶段中发现的质量问题等情况，投标人应负责更换或退货，更换货时间为自采购人提出异议之日起十个工作日内。</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5、投标人须在“三包”范围内免费提供货物的资料和相关数据标准。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6、投标人应提供合理、高效的售后服务方案。</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（二）质量保障要求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主要生产设备要求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应确认制造商具备与本项目相关的生产设备，设备生产规模、能力和工艺，与本项目技术要求相匹配。主要生产设备的先进性、精密度、工艺条件，应能保障本项目质量与供应要求。（需证明主要生产设备能够生产本项目标的产品，提供相关证明材料（包括但不限于：主要设备一览表及设备图片并说明设备用途、产能等）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2、检测设备要求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应确认制造商需具备与本项目相关的检测设备，检测设备的精密度、检测能力应与检测指标和技术要求相匹配。主要检测设备的先进性、精密度、检测条件，应能保障本项目质量与供应要求。（需证明检测设备能够检测本项目标的产</w:t>
      </w:r>
      <w:r>
        <w:rPr>
          <w:rFonts w:hint="default" w:ascii="Times New Roman" w:hAnsi="Times New Roman"/>
          <w:bCs/>
          <w:sz w:val="24"/>
          <w:szCs w:val="24"/>
          <w:highlight w:val="none"/>
          <w:lang w:eastAsia="zh-CN"/>
        </w:rPr>
        <w:t>品，提供相关证明材料（包括但不限于：主要设备一览表及设备图片并说明设备用途）并加盖公章）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（三）组织机构</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投标人</w:t>
      </w:r>
      <w:r>
        <w:rPr>
          <w:rFonts w:hint="default" w:ascii="Times New Roman" w:hAnsi="Times New Roman"/>
          <w:bCs/>
          <w:sz w:val="24"/>
          <w:szCs w:val="24"/>
          <w:highlight w:val="none"/>
          <w:lang w:eastAsia="zh-CN"/>
        </w:rPr>
        <w:t>需具备与本项目所需生产规模和质量管理体系相适应的专业技术、管理、服务、操作等人员组织机构，以保障本项目的实施。</w:t>
      </w:r>
    </w:p>
    <w:p>
      <w:pPr>
        <w:pStyle w:val="7"/>
        <w:spacing w:after="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（四）紧急情况保障要求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采购人有紧急需用时，能够积极协调采购，保障供应。投标人针对急需供货、物流紧急问题保障、质量问题处理以及提前识别和预防可能发生的重大隐患事故、突发疫情、保障货物安全和供应等因素等方面，应提供科学、合理、有效的应急保障措施。</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物料使用过程中，投标人应配合完成每年上级单位对制剂室抽检工作，如组织质量审计、核查等活动，向采购人如实提供检查过程当中所需文件材料。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（五）仓储服务保障要求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为保障包装材料供应投标人应在项目所在地具备满足本项目的仓储服务保障的能力，其仓储总面积≥500㎡。具备与其经营范围、经营规模相适应的库房和办公区域等。提供的仓储日常管理方案合理、有良好的仓储管理机制、有良好的防潮、防霉等设施；库房管理制度全面、仓库内外环境无污染源，确保能够充分满足项目需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（六）包装及配送服务要求</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投标人</w:t>
      </w:r>
      <w:r>
        <w:rPr>
          <w:rFonts w:ascii="Times New Roman" w:hAnsi="Times New Roman"/>
          <w:bCs/>
          <w:sz w:val="24"/>
          <w:szCs w:val="24"/>
          <w:highlight w:val="none"/>
          <w:lang w:eastAsia="zh-CN"/>
        </w:rPr>
        <w:t>应提供完整合理的配送方案</w:t>
      </w:r>
      <w:r>
        <w:rPr>
          <w:rFonts w:hint="default" w:ascii="Times New Roman" w:hAnsi="Times New Roman"/>
          <w:bCs/>
          <w:sz w:val="24"/>
          <w:szCs w:val="24"/>
          <w:highlight w:val="none"/>
          <w:lang w:eastAsia="zh-CN"/>
        </w:rPr>
        <w:t>（供货、配送工作流程）</w:t>
      </w:r>
      <w:r>
        <w:rPr>
          <w:rFonts w:ascii="Times New Roman" w:hAnsi="Times New Roman"/>
          <w:bCs/>
          <w:sz w:val="24"/>
          <w:szCs w:val="24"/>
          <w:highlight w:val="none"/>
          <w:lang w:eastAsia="zh-CN"/>
        </w:rPr>
        <w:t>，确保完全满足项目需求，内容包括但不限于：</w:t>
      </w:r>
      <w:r>
        <w:rPr>
          <w:rFonts w:hint="default" w:ascii="Times New Roman" w:hAnsi="Times New Roman"/>
          <w:bCs/>
          <w:sz w:val="24"/>
          <w:szCs w:val="24"/>
          <w:highlight w:val="none"/>
          <w:lang w:eastAsia="zh-CN"/>
        </w:rPr>
        <w:t>物流配送方式</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配送工具</w:t>
      </w:r>
      <w:r>
        <w:rPr>
          <w:rFonts w:ascii="Times New Roman" w:hAnsi="Times New Roman"/>
          <w:bCs/>
          <w:sz w:val="24"/>
          <w:szCs w:val="24"/>
          <w:highlight w:val="none"/>
          <w:lang w:eastAsia="zh-CN"/>
        </w:rPr>
        <w:t>、配送团队、团队人员信息及资质等。</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应完好、清洁、无损，包装标签字迹清晰并标明：名称、规格数量、产地、追溯标识（如有）、产品批号、生产日期、有效期、依据标准、批准文号、生产企业、贮藏等，包装规格量与标示量相符，销售清单注明采购人名称。</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包装必须适合长途运输，包装箱和包装物应完好无损，采购人有权拒收投标人的已损坏的包装箱和有磕碰、有锈蚀等质量问题的产品，并需告知投标人。投标人未向采购人要求回收的空包装物或包装箱，采购人可自行处理或选择其他处理方式。</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（七）信息化管理及产品溯源能力</w:t>
      </w:r>
    </w:p>
    <w:p>
      <w:pPr>
        <w:pStyle w:val="7"/>
        <w:spacing w:after="0"/>
        <w:ind w:firstLine="480" w:firstLineChars="200"/>
        <w:rPr>
          <w:rFonts w:hint="default" w:ascii="Times New Roman" w:hAnsi="Times New Roman"/>
          <w:bCs/>
          <w:sz w:val="24"/>
          <w:szCs w:val="24"/>
          <w:highlight w:val="none"/>
          <w:lang w:eastAsia="zh-CN"/>
        </w:rPr>
      </w:pPr>
      <w:r>
        <w:rPr>
          <w:rFonts w:hint="default" w:ascii="Times New Roman" w:hAnsi="Times New Roman"/>
          <w:bCs/>
          <w:sz w:val="24"/>
          <w:szCs w:val="24"/>
          <w:highlight w:val="none"/>
          <w:lang w:eastAsia="zh-CN"/>
        </w:rPr>
        <w:t>投标人应通过完备的信息管理系统建立</w:t>
      </w:r>
      <w:r>
        <w:rPr>
          <w:rFonts w:ascii="Times New Roman" w:hAnsi="Times New Roman"/>
          <w:bCs/>
          <w:sz w:val="24"/>
          <w:szCs w:val="24"/>
          <w:highlight w:val="none"/>
          <w:lang w:eastAsia="zh-CN"/>
        </w:rPr>
        <w:t>药品包装材料</w:t>
      </w:r>
      <w:r>
        <w:rPr>
          <w:rFonts w:hint="default" w:ascii="Times New Roman" w:hAnsi="Times New Roman"/>
          <w:bCs/>
          <w:sz w:val="24"/>
          <w:szCs w:val="24"/>
          <w:highlight w:val="none"/>
          <w:lang w:eastAsia="zh-CN"/>
        </w:rPr>
        <w:t>质量保障体系（如有），提供的全程质量控制管理方案；可通过现代化技术确保</w:t>
      </w:r>
      <w:r>
        <w:rPr>
          <w:rFonts w:ascii="Times New Roman" w:hAnsi="Times New Roman"/>
          <w:bCs/>
          <w:sz w:val="24"/>
          <w:szCs w:val="24"/>
          <w:highlight w:val="none"/>
          <w:lang w:eastAsia="zh-CN"/>
        </w:rPr>
        <w:t>包装材料</w:t>
      </w:r>
      <w:r>
        <w:rPr>
          <w:rFonts w:hint="default" w:ascii="Times New Roman" w:hAnsi="Times New Roman"/>
          <w:bCs/>
          <w:sz w:val="24"/>
          <w:szCs w:val="24"/>
          <w:highlight w:val="none"/>
          <w:lang w:eastAsia="zh-CN"/>
        </w:rPr>
        <w:t>质量的能力和质量追溯能力，具备原料信息追溯体系，能提供产品溯源信息。</w:t>
      </w:r>
    </w:p>
    <w:p>
      <w:pPr>
        <w:pStyle w:val="7"/>
        <w:spacing w:after="0"/>
        <w:ind w:firstLine="480" w:firstLineChars="200"/>
        <w:rPr>
          <w:rFonts w:hint="default" w:ascii="Times New Roman" w:hAnsi="Times New Roman"/>
          <w:bCs/>
          <w:sz w:val="24"/>
          <w:szCs w:val="24"/>
          <w:highlight w:val="none"/>
          <w:lang w:eastAsia="zh-CN"/>
        </w:rPr>
      </w:pPr>
    </w:p>
    <w:p>
      <w:pPr>
        <w:autoSpaceDE/>
        <w:autoSpaceDN/>
        <w:spacing w:after="0"/>
        <w:rPr>
          <w:rFonts w:ascii="Times New Roman" w:hAnsi="Times New Roman"/>
          <w:b/>
          <w:szCs w:val="24"/>
          <w:highlight w:val="none"/>
        </w:rPr>
      </w:pPr>
      <w:r>
        <w:rPr>
          <w:rFonts w:hint="eastAsia" w:ascii="Times New Roman" w:hAnsi="Times New Roman"/>
          <w:b/>
          <w:szCs w:val="24"/>
          <w:highlight w:val="none"/>
        </w:rPr>
        <w:t>七、采购标的技术要求：</w:t>
      </w:r>
    </w:p>
    <w:p>
      <w:pPr>
        <w:pStyle w:val="3"/>
        <w:autoSpaceDE/>
        <w:autoSpaceDN/>
        <w:spacing w:after="0"/>
        <w:rPr>
          <w:bCs/>
          <w:szCs w:val="24"/>
          <w:highlight w:val="none"/>
        </w:rPr>
      </w:pPr>
      <w:r>
        <w:rPr>
          <w:rFonts w:hint="eastAsia"/>
          <w:bCs/>
          <w:szCs w:val="24"/>
          <w:highlight w:val="none"/>
        </w:rPr>
        <w:t>第1包：</w:t>
      </w:r>
    </w:p>
    <w:p>
      <w:pPr>
        <w:autoSpaceDE/>
        <w:autoSpaceDN/>
        <w:spacing w:after="0"/>
        <w:rPr>
          <w:rFonts w:ascii="Times New Roman" w:hAnsi="Times New Roman"/>
          <w:b/>
          <w:szCs w:val="24"/>
          <w:highlight w:val="none"/>
        </w:rPr>
      </w:pPr>
      <w:r>
        <w:rPr>
          <w:rFonts w:hint="eastAsia" w:ascii="Times New Roman" w:hAnsi="Times New Roman"/>
          <w:b/>
          <w:szCs w:val="24"/>
          <w:highlight w:val="none"/>
        </w:rPr>
        <w:t>（一）需求一览表</w:t>
      </w:r>
    </w:p>
    <w:tbl>
      <w:tblPr>
        <w:tblStyle w:val="12"/>
        <w:tblW w:w="5407" w:type="pct"/>
        <w:tblInd w:w="-318" w:type="dxa"/>
        <w:tblLayout w:type="fixed"/>
        <w:tblCellMar>
          <w:top w:w="0" w:type="dxa"/>
          <w:left w:w="108" w:type="dxa"/>
          <w:bottom w:w="0" w:type="dxa"/>
          <w:right w:w="108" w:type="dxa"/>
        </w:tblCellMar>
      </w:tblPr>
      <w:tblGrid>
        <w:gridCol w:w="911"/>
        <w:gridCol w:w="1945"/>
        <w:gridCol w:w="3436"/>
        <w:gridCol w:w="780"/>
        <w:gridCol w:w="2144"/>
      </w:tblGrid>
      <w:tr>
        <w:tblPrEx>
          <w:tblCellMar>
            <w:top w:w="0" w:type="dxa"/>
            <w:left w:w="108" w:type="dxa"/>
            <w:bottom w:w="0" w:type="dxa"/>
            <w:right w:w="108" w:type="dxa"/>
          </w:tblCellMar>
        </w:tblPrEx>
        <w:trPr>
          <w:trHeight w:val="559" w:hRule="atLeast"/>
          <w:tblHeader/>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序号</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类别</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物料名称</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单位</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2026年计划采购量</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472500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w:t>
            </w:r>
          </w:p>
        </w:tc>
        <w:tc>
          <w:tcPr>
            <w:tcW w:w="105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肤乐霜彩盒</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1900000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104000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2600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250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鞣酸软膏彩盒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鞣酸软膏中盒</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450000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14</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水合氯醛胶浆标签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104000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水合氯醛灌肠液标签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氯化钾胶浆标签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炉甘石呋喃西林洗剂标签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合格签</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1212600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炉甘石呋喃西林洗剂说明书</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氯化钾胶浆说明书</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21</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7875</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22</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二甲硅油乳膏大箱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15745</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23</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肤乐霜大箱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9500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24</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双黄祛湿洗剂大箱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9000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25</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鞣酸软膏大箱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26</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14号箱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806</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27</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印字包材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4号箱</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r>
      <w:tr>
        <w:tblPrEx>
          <w:tblCellMar>
            <w:top w:w="0" w:type="dxa"/>
            <w:left w:w="108" w:type="dxa"/>
            <w:bottom w:w="0" w:type="dxa"/>
            <w:right w:w="108" w:type="dxa"/>
          </w:tblCellMar>
        </w:tblPrEx>
        <w:trPr>
          <w:trHeight w:val="288" w:hRule="atLeast"/>
        </w:trPr>
        <w:tc>
          <w:tcPr>
            <w:tcW w:w="49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28</w:t>
            </w:r>
          </w:p>
        </w:tc>
        <w:tc>
          <w:tcPr>
            <w:tcW w:w="1055"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60g塑料软管</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1880000</w:t>
            </w:r>
          </w:p>
        </w:tc>
      </w:tr>
    </w:tbl>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（二）印字包材要求：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1、本次招标的印字包材包括以下27种，采购需求如下：</w:t>
      </w:r>
    </w:p>
    <w:tbl>
      <w:tblPr>
        <w:tblStyle w:val="12"/>
        <w:tblW w:w="10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92"/>
        <w:gridCol w:w="1843"/>
        <w:gridCol w:w="3217"/>
        <w:gridCol w:w="1811"/>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序号</w:t>
            </w:r>
          </w:p>
        </w:tc>
        <w:tc>
          <w:tcPr>
            <w:tcW w:w="992"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类别</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名称</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材质要求</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型号和规格</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彩盒</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小儿复方钙颗粒彩盒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160mm×90mm×55mm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40mm×40mm×132mm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90mm×140mm×220mm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125mm×32mm×22mm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7色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165mm×95mm×130mm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46mm×46mm×123mm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7</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30mm×30mm×50mm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160mm×125mm×110mm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9</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30mm×30mm×50mm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10</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160mm×125mm×55mm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11</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鞣酸软膏彩盒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300g白卡</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125mm×32mm×22mm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鞣酸软膏中盒</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350g白板</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165mm×95mm×130mm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13</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标签</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110mm×50mm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4色，</w:t>
            </w:r>
            <w:r>
              <w:rPr>
                <w:rStyle w:val="22"/>
                <w:rFonts w:hint="default" w:ascii="Times New Roman" w:hAnsi="Times New Roman" w:eastAsia="宋体"/>
                <w:sz w:val="24"/>
                <w:szCs w:val="24"/>
                <w:highlight w:val="none"/>
                <w:lang w:bidi="ar"/>
              </w:rPr>
              <w:t>卷筒式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水合氯醛胶浆标签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55mm×22mm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水合氯醛灌肠液标签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55mm×22mm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氯化钾胶浆标签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80mm×45mm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17</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炉甘石呋喃西林洗剂标签</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80g铜板</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80mm×45mm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2色，</w:t>
            </w:r>
            <w:r>
              <w:rPr>
                <w:rStyle w:val="22"/>
                <w:rFonts w:hint="default" w:ascii="Times New Roman" w:hAnsi="Times New Roman" w:eastAsia="宋体"/>
                <w:sz w:val="24"/>
                <w:szCs w:val="24"/>
                <w:highlight w:val="none"/>
                <w:lang w:bidi="ar"/>
              </w:rPr>
              <w:t>平张式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9"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18</w:t>
            </w:r>
          </w:p>
        </w:tc>
        <w:tc>
          <w:tcPr>
            <w:tcW w:w="992" w:type="dxa"/>
            <w:vMerge w:val="continue"/>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p>
        </w:tc>
        <w:tc>
          <w:tcPr>
            <w:tcW w:w="1843"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合格签</w:t>
            </w:r>
          </w:p>
        </w:tc>
        <w:tc>
          <w:tcPr>
            <w:tcW w:w="3217"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40U透明PVC﹢覆膜</w:t>
            </w:r>
          </w:p>
        </w:tc>
        <w:tc>
          <w:tcPr>
            <w:tcW w:w="1811"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椭圆形、长轴30mm、短轴20mm</w:t>
            </w:r>
          </w:p>
        </w:tc>
        <w:tc>
          <w:tcPr>
            <w:tcW w:w="1674" w:type="dxa"/>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底色（透明）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19</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说明书</w:t>
            </w: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炉甘石呋喃西林洗剂说明书</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60g胶版木浆纸</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160mm×120mm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单面印，</w:t>
            </w:r>
            <w:r>
              <w:rPr>
                <w:rStyle w:val="22"/>
                <w:rFonts w:hint="default" w:ascii="Times New Roman" w:hAnsi="Times New Roman" w:eastAsia="宋体"/>
                <w:sz w:val="24"/>
                <w:szCs w:val="24"/>
                <w:highlight w:val="none"/>
                <w:lang w:bidi="ar"/>
              </w:rPr>
              <w:t>每100张作分隔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rPr>
              <w:t>20</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氯化钾胶浆说明书</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60g胶版木浆纸</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100mm×150mm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双面印，</w:t>
            </w:r>
            <w:r>
              <w:rPr>
                <w:rStyle w:val="22"/>
                <w:rFonts w:hint="default" w:ascii="Times New Roman" w:hAnsi="Times New Roman" w:eastAsia="宋体"/>
                <w:sz w:val="24"/>
                <w:szCs w:val="24"/>
                <w:highlight w:val="none"/>
                <w:lang w:bidi="ar"/>
              </w:rPr>
              <w:t>每100张作分隔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21</w:t>
            </w:r>
          </w:p>
        </w:tc>
        <w:tc>
          <w:tcPr>
            <w:tcW w:w="992" w:type="dxa"/>
            <w:vMerge w:val="restart"/>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纸箱</w:t>
            </w: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小儿复方钙颗粒大箱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560mm×330mm×275mm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内尺寸；无垫板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22</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二甲硅油乳膏大箱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560mm×300mm×240mm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23</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肤乐霜大箱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500mm×340mm×150mm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24</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双黄祛湿洗剂大箱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480mm×250mm×135mm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25</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鞣酸软膏大箱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500mm×340mm×150mm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26</w:t>
            </w:r>
          </w:p>
        </w:tc>
        <w:tc>
          <w:tcPr>
            <w:tcW w:w="992" w:type="dxa"/>
            <w:vMerge w:val="continue"/>
            <w:noWrap/>
            <w:vAlign w:val="center"/>
          </w:tcPr>
          <w:p>
            <w:pPr>
              <w:autoSpaceDE/>
              <w:autoSpaceDN/>
              <w:spacing w:after="0" w:line="276" w:lineRule="auto"/>
              <w:jc w:val="center"/>
              <w:rPr>
                <w:rFonts w:ascii="Times New Roman" w:hAnsi="Times New Roman" w:cs="仿宋"/>
                <w:color w:val="000000"/>
                <w:szCs w:val="24"/>
                <w:highlight w:val="none"/>
              </w:rPr>
            </w:pPr>
          </w:p>
        </w:tc>
        <w:tc>
          <w:tcPr>
            <w:tcW w:w="1843"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14号箱</w:t>
            </w:r>
          </w:p>
        </w:tc>
        <w:tc>
          <w:tcPr>
            <w:tcW w:w="3217"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shd w:val="clear" w:color="auto" w:fill="FFFFFF"/>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490mm×260mm×125mm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内尺寸；垫板：两块，环保纸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27</w:t>
            </w:r>
          </w:p>
        </w:tc>
        <w:tc>
          <w:tcPr>
            <w:tcW w:w="992" w:type="dxa"/>
            <w:vMerge w:val="continue"/>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p>
        </w:tc>
        <w:tc>
          <w:tcPr>
            <w:tcW w:w="1843"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4号箱</w:t>
            </w:r>
          </w:p>
        </w:tc>
        <w:tc>
          <w:tcPr>
            <w:tcW w:w="3217"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五层：外、里均为200克A级牛皮纸，AB楞(高强，A楞120克，B楞120克）</w:t>
            </w:r>
          </w:p>
        </w:tc>
        <w:tc>
          <w:tcPr>
            <w:tcW w:w="1811"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560mm×330mm×275mm</w:t>
            </w:r>
          </w:p>
        </w:tc>
        <w:tc>
          <w:tcPr>
            <w:tcW w:w="1674" w:type="dxa"/>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rPr>
            </w:pPr>
            <w:r>
              <w:rPr>
                <w:rFonts w:hint="eastAsia" w:ascii="Times New Roman" w:hAnsi="Times New Roman" w:cs="仿宋"/>
                <w:color w:val="000000"/>
                <w:szCs w:val="24"/>
                <w:highlight w:val="none"/>
                <w:lang w:bidi="ar"/>
              </w:rPr>
              <w:t>内尺寸；无垫板</w:t>
            </w:r>
          </w:p>
        </w:tc>
      </w:tr>
    </w:tbl>
    <w:p>
      <w:pPr>
        <w:pStyle w:val="7"/>
        <w:spacing w:after="0"/>
        <w:rPr>
          <w:rFonts w:hint="default" w:ascii="Times New Roman" w:hAnsi="Times New Roman"/>
          <w:bCs/>
          <w:sz w:val="24"/>
          <w:szCs w:val="24"/>
          <w:highlight w:val="none"/>
        </w:rPr>
      </w:pP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产品生产原料要求: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彩盒原料为 889x1194 和 787x1092 平整无气泡，无污点 200g-350g白卡纸、白板纸。纸材重量偏差+5%，根据包装盒大、小使用不同尺寸纸张，纸张一般为标准四开或对开。</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说明书原料为 889*1194 和 787*1092，原料为 60g-100g胶板木浆纸。3、纸箱原料为五层面纸 140 克A级，里纸 140 克A级，AB 楞 120 克高强,夹心纸 60 克-110 克。</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标签原料为 80g铜版纸。不干胶印刷产品用艾利纸或国产不干胶材料,卷筒不干胶，纸材重量偏差+10%</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技术要求</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文字线条清晰、完整、不变型，小于7号字读时不误字意，网纹清晰均匀，无明显变形和残缺。</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墨色鲜艳、牢固、网点清晰、套印准确，主要部位误差不超过</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0.1mm,次要部位误差</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0.2mm一批一致。</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版面压力基本平实均匀，目测无露底，无脏污，图面清晰。</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模切成品尺寸符合</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要求，误差+0.5mm。偏斜度精确至+1mm，模切刀口光洁，无毛刺，刀线相接处要对正，成品尺寸误差不超过+0.5mm;成品图案位置误差+0.8mm 压力线深度 0.5-0.8mm，不破裂。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糊盒粘合剂涂布均匀、充分一致，不脱胶，不溢胶、不粘边,。糊口干净，成品盒粘结牢固、不歪斜、不开胶，不粘膛，成型线对正，包装盒粘贴位置不得</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0.2mm,白板纸盒不得</w:t>
      </w:r>
      <w:r>
        <w:rPr>
          <w:rFonts w:hint="default" w:ascii="Cambria Math" w:hAnsi="Cambria Math" w:cs="Cambria Math"/>
          <w:bCs/>
          <w:sz w:val="24"/>
          <w:szCs w:val="24"/>
          <w:highlight w:val="none"/>
          <w:lang w:eastAsia="zh-CN"/>
        </w:rPr>
        <w:t>≧</w:t>
      </w:r>
      <w:r>
        <w:rPr>
          <w:rFonts w:hint="default" w:ascii="Times New Roman" w:hAnsi="Times New Roman"/>
          <w:bCs/>
          <w:sz w:val="24"/>
          <w:szCs w:val="24"/>
          <w:highlight w:val="none"/>
          <w:lang w:eastAsia="zh-CN"/>
        </w:rPr>
        <w:t>0.5mm，包装盒成型方正统一。</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不干胶胶力强，不脱胶，不起翘。卷芯、卷筒:卷芯不得变形、断裂。卷芯不得自由脱落与松动，卷芯高度应与底纸一致，误差应为+2mm;卷筒两端平整，平面度误差为+1mm，卷筒应紧实。</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（7）投标人中标后，投产前应</w:t>
      </w:r>
      <w:r>
        <w:rPr>
          <w:rFonts w:hint="default" w:ascii="Times New Roman" w:hAnsi="Times New Roman"/>
          <w:bCs/>
          <w:sz w:val="24"/>
          <w:szCs w:val="24"/>
          <w:highlight w:val="none"/>
          <w:lang w:eastAsia="zh-CN"/>
        </w:rPr>
        <w:t>根据</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要求提供样品确认书，各产品以标准实物为准，目测样品与实物标样在颜色与风格上基本一致，符合</w:t>
      </w:r>
      <w:r>
        <w:rPr>
          <w:rFonts w:ascii="Times New Roman" w:hAnsi="Times New Roman"/>
          <w:bCs/>
          <w:sz w:val="24"/>
          <w:szCs w:val="24"/>
          <w:highlight w:val="none"/>
          <w:lang w:eastAsia="zh-CN"/>
        </w:rPr>
        <w:t>采购人</w:t>
      </w:r>
      <w:r>
        <w:rPr>
          <w:rFonts w:hint="default" w:ascii="Times New Roman" w:hAnsi="Times New Roman"/>
          <w:bCs/>
          <w:sz w:val="24"/>
          <w:szCs w:val="24"/>
          <w:highlight w:val="none"/>
          <w:lang w:eastAsia="zh-CN"/>
        </w:rPr>
        <w:t>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（三）塑料软管（60g二甲硅油乳膏管）要求</w:t>
      </w:r>
    </w:p>
    <w:p>
      <w:pPr>
        <w:pStyle w:val="7"/>
        <w:spacing w:after="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1、制造商</w:t>
      </w:r>
      <w:r>
        <w:rPr>
          <w:rFonts w:hint="default" w:ascii="Times New Roman" w:hAnsi="Times New Roman"/>
          <w:b/>
          <w:sz w:val="24"/>
          <w:szCs w:val="24"/>
          <w:highlight w:val="none"/>
          <w:lang w:eastAsia="zh-CN"/>
        </w:rPr>
        <w:t>须具备有效的药包材登记证明：应在国家药品监督管理局药品审评中心网站登记可查，登记品种名称“药用低密度聚乙烯/乙烯-乙烯醇共聚物/低密度聚乙烯复合软膏管”</w:t>
      </w:r>
      <w:r>
        <w:rPr>
          <w:rFonts w:ascii="Times New Roman" w:hAnsi="Times New Roman"/>
          <w:b/>
          <w:sz w:val="24"/>
          <w:szCs w:val="24"/>
          <w:highlight w:val="none"/>
          <w:lang w:eastAsia="zh-CN"/>
        </w:rPr>
        <w:t>或“药用聚乙烯/乙烯-乙烯醇共聚物/聚乙烯复合软膏管”，</w:t>
      </w:r>
      <w:r>
        <w:rPr>
          <w:rFonts w:hint="default" w:ascii="Times New Roman" w:hAnsi="Times New Roman"/>
          <w:b/>
          <w:sz w:val="24"/>
          <w:szCs w:val="24"/>
          <w:highlight w:val="none"/>
          <w:lang w:eastAsia="zh-CN"/>
        </w:rPr>
        <w:t>且与制剂共同审评审批结果为“A”</w:t>
      </w:r>
      <w:r>
        <w:rPr>
          <w:rFonts w:ascii="Times New Roman" w:hAnsi="Times New Roman"/>
          <w:b/>
          <w:sz w:val="24"/>
          <w:szCs w:val="24"/>
          <w:highlight w:val="none"/>
          <w:lang w:eastAsia="zh-CN"/>
        </w:rPr>
        <w:t>。 投标人应提供国家药品监督管理局药品审评中心网站登记截图加盖公章，否则投标无效。</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产品生产原料及制作要求：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材质：应为白色药用低密度聚乙烯/乙烯-乙烯醇共聚物/低密度聚乙烯复合软膏管</w:t>
      </w:r>
      <w:r>
        <w:rPr>
          <w:rFonts w:ascii="Times New Roman" w:hAnsi="Times New Roman"/>
          <w:bCs/>
          <w:sz w:val="24"/>
          <w:szCs w:val="24"/>
          <w:highlight w:val="none"/>
          <w:lang w:eastAsia="zh-CN"/>
        </w:rPr>
        <w:t>，或白色药用聚乙烯/乙烯-乙烯醇共聚物/聚乙烯复合软膏管</w:t>
      </w:r>
      <w:r>
        <w:rPr>
          <w:rFonts w:hint="default"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制作要求：五层管/白色管/特长咀/四色胶印/上光油/不封尾/贴膜/上盖/配φ35 旋盖白色 006#。</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规格要求（管径×管长×管口径规格）：φ35×108mm×7mm。</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技术要求：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执行标准：应提供已备案的企业标准，并符合企业标准中的各项指标。（需提供已在药品监督管理局备案的企业标准（至少提供首页及关键页）并加盖公章）</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型检报告：在合同有效期内应每年提供至少一批国家法定机构出具的《型检报告书》。</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制造商检测报告书：每批产品应附《出厂检验报告书》，并符合企标规定的出厂检验要求。</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容量规格：60g。</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外观：不得有歪管肩及管肩缺料、磨损、拉毛和明显皱纹。管身应光洁平整、无破损，色泽均匀、无明显色差。管内外洁净，不得有刮伤、碰伤、加工残屑及其他异物。</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印刷质量：管身上的文字标志应清晰、准确、牢固。软管印刷色泽应均匀、清晰，无明显色差。</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w:t>
      </w:r>
      <w:r>
        <w:rPr>
          <w:rFonts w:hint="default" w:ascii="Times New Roman" w:hAnsi="Times New Roman"/>
          <w:bCs/>
          <w:sz w:val="24"/>
          <w:szCs w:val="24"/>
          <w:highlight w:val="none"/>
          <w:lang w:eastAsia="zh-CN"/>
        </w:rPr>
        <w:t>规格尺寸：管尾到管径长 108mm±0.5mm，管直径：35mm±0.5mm，管口内径 7mm±0.2mm。</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w:t>
      </w:r>
      <w:r>
        <w:rPr>
          <w:rFonts w:hint="default" w:ascii="Times New Roman" w:hAnsi="Times New Roman"/>
          <w:bCs/>
          <w:sz w:val="24"/>
          <w:szCs w:val="24"/>
          <w:highlight w:val="none"/>
          <w:lang w:eastAsia="zh-CN"/>
        </w:rPr>
        <w:t>微生物限度：需氧菌总数≤100cfu/支，霉菌、酵母菌总数≤100cfu/支，金黄色葡萄球菌、铜绿假单胞菌每支均不得检出。（需提供检测报告复印件加盖公章）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w:t>
      </w:r>
      <w:r>
        <w:rPr>
          <w:rFonts w:hint="default" w:ascii="Times New Roman" w:hAnsi="Times New Roman"/>
          <w:bCs/>
          <w:sz w:val="24"/>
          <w:szCs w:val="24"/>
          <w:highlight w:val="none"/>
          <w:lang w:eastAsia="zh-CN"/>
        </w:rPr>
        <w:t>安全性指标：皮肤刺激性、异常毒性应符合企业标准中的相应项目指标要求。（需提供检测报告复印件加盖公章）</w:t>
      </w:r>
      <w:r>
        <w:rPr>
          <w:rFonts w:ascii="Times New Roman" w:hAnsi="Times New Roman"/>
          <w:bCs/>
          <w:sz w:val="24"/>
          <w:szCs w:val="24"/>
          <w:highlight w:val="none"/>
          <w:lang w:eastAsia="zh-CN"/>
        </w:rPr>
        <w:t>。</w:t>
      </w:r>
    </w:p>
    <w:p>
      <w:pPr>
        <w:pStyle w:val="7"/>
        <w:spacing w:after="0"/>
        <w:rPr>
          <w:rFonts w:hint="default" w:ascii="Times New Roman" w:hAnsi="Times New Roman"/>
          <w:bCs/>
          <w:sz w:val="24"/>
          <w:szCs w:val="24"/>
          <w:highlight w:val="none"/>
          <w:lang w:eastAsia="zh-CN"/>
        </w:rPr>
      </w:pPr>
    </w:p>
    <w:p>
      <w:pPr>
        <w:pStyle w:val="7"/>
        <w:spacing w:after="0"/>
        <w:outlineLvl w:val="2"/>
        <w:rPr>
          <w:rFonts w:hint="default" w:ascii="Times New Roman" w:hAnsi="Times New Roman"/>
          <w:b/>
          <w:sz w:val="24"/>
          <w:szCs w:val="24"/>
          <w:highlight w:val="none"/>
          <w:lang w:eastAsia="zh-CN"/>
        </w:rPr>
      </w:pPr>
      <w:r>
        <w:rPr>
          <w:rFonts w:hint="default" w:ascii="Times New Roman" w:hAnsi="Times New Roman"/>
          <w:b/>
          <w:sz w:val="24"/>
          <w:szCs w:val="24"/>
          <w:highlight w:val="none"/>
          <w:lang w:eastAsia="zh-CN"/>
        </w:rPr>
        <w:br w:type="page"/>
      </w:r>
    </w:p>
    <w:p>
      <w:pPr>
        <w:pStyle w:val="7"/>
        <w:spacing w:after="0"/>
        <w:outlineLvl w:val="2"/>
        <w:rPr>
          <w:rFonts w:hint="default" w:ascii="Times New Roman" w:hAnsi="Times New Roman"/>
          <w:b/>
          <w:sz w:val="24"/>
          <w:szCs w:val="24"/>
          <w:highlight w:val="none"/>
          <w:lang w:eastAsia="zh-CN"/>
        </w:rPr>
      </w:pPr>
      <w:r>
        <w:rPr>
          <w:rFonts w:ascii="Times New Roman" w:hAnsi="Times New Roman"/>
          <w:b/>
          <w:sz w:val="24"/>
          <w:szCs w:val="24"/>
          <w:highlight w:val="none"/>
          <w:lang w:eastAsia="zh-CN"/>
        </w:rPr>
        <w:t>第2包：</w:t>
      </w:r>
    </w:p>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（一）需求一览表</w:t>
      </w:r>
    </w:p>
    <w:tbl>
      <w:tblPr>
        <w:tblStyle w:val="12"/>
        <w:tblW w:w="5407" w:type="pct"/>
        <w:tblInd w:w="-318" w:type="dxa"/>
        <w:tblLayout w:type="fixed"/>
        <w:tblCellMar>
          <w:top w:w="0" w:type="dxa"/>
          <w:left w:w="108" w:type="dxa"/>
          <w:bottom w:w="0" w:type="dxa"/>
          <w:right w:w="108" w:type="dxa"/>
        </w:tblCellMar>
      </w:tblPr>
      <w:tblGrid>
        <w:gridCol w:w="704"/>
        <w:gridCol w:w="2152"/>
        <w:gridCol w:w="3436"/>
        <w:gridCol w:w="780"/>
        <w:gridCol w:w="2144"/>
      </w:tblGrid>
      <w:tr>
        <w:tblPrEx>
          <w:tblCellMar>
            <w:top w:w="0" w:type="dxa"/>
            <w:left w:w="108" w:type="dxa"/>
            <w:bottom w:w="0" w:type="dxa"/>
            <w:right w:w="108" w:type="dxa"/>
          </w:tblCellMar>
        </w:tblPrEx>
        <w:trPr>
          <w:trHeight w:val="626"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序号</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类别</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物料名称</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单位</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2026年计划采购量</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口服液体药用高密度聚乙烯瓶100ml（棕色）</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12800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口服液体药用高密度聚乙烯瓶100ml</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8000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3</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口服液体药用高密度聚乙烯瓶10ml</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85000</w:t>
            </w:r>
          </w:p>
        </w:tc>
      </w:tr>
      <w:tr>
        <w:tblPrEx>
          <w:tblCellMar>
            <w:top w:w="0" w:type="dxa"/>
            <w:left w:w="108" w:type="dxa"/>
            <w:bottom w:w="0" w:type="dxa"/>
            <w:right w:w="108" w:type="dxa"/>
          </w:tblCellMar>
        </w:tblPrEx>
        <w:trPr>
          <w:trHeight w:val="702"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钠钙玻璃模制药瓶</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458640</w:t>
            </w:r>
          </w:p>
        </w:tc>
      </w:tr>
      <w:tr>
        <w:tblPrEx>
          <w:tblCellMar>
            <w:top w:w="0" w:type="dxa"/>
            <w:left w:w="108" w:type="dxa"/>
            <w:bottom w:w="0" w:type="dxa"/>
            <w:right w:w="108" w:type="dxa"/>
          </w:tblCellMar>
        </w:tblPrEx>
        <w:trPr>
          <w:trHeight w:val="699"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口服液瓶用铝盖</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456000</w:t>
            </w:r>
          </w:p>
        </w:tc>
      </w:tr>
      <w:tr>
        <w:tblPrEx>
          <w:tblCellMar>
            <w:top w:w="0" w:type="dxa"/>
            <w:left w:w="108" w:type="dxa"/>
            <w:bottom w:w="0" w:type="dxa"/>
            <w:right w:w="108" w:type="dxa"/>
          </w:tblCellMar>
        </w:tblPrEx>
        <w:trPr>
          <w:trHeight w:val="695" w:hRule="atLeast"/>
        </w:trPr>
        <w:tc>
          <w:tcPr>
            <w:tcW w:w="38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6</w:t>
            </w:r>
          </w:p>
        </w:tc>
        <w:tc>
          <w:tcPr>
            <w:tcW w:w="1168"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20g铝质药用软膏管（肤乐霜）</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支</w:t>
            </w:r>
          </w:p>
        </w:tc>
        <w:tc>
          <w:tcPr>
            <w:tcW w:w="116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1900000</w:t>
            </w:r>
          </w:p>
        </w:tc>
      </w:tr>
      <w:tr>
        <w:tblPrEx>
          <w:tblCellMar>
            <w:top w:w="0" w:type="dxa"/>
            <w:left w:w="108" w:type="dxa"/>
            <w:bottom w:w="0" w:type="dxa"/>
            <w:right w:w="108" w:type="dxa"/>
          </w:tblCellMar>
        </w:tblPrEx>
        <w:trPr>
          <w:trHeight w:val="288"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7</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20g铝质药用软膏管（鞣酸软膏）</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支</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10000</w:t>
            </w:r>
          </w:p>
        </w:tc>
      </w:tr>
      <w:tr>
        <w:tblPrEx>
          <w:tblCellMar>
            <w:top w:w="0" w:type="dxa"/>
            <w:left w:w="108" w:type="dxa"/>
            <w:bottom w:w="0" w:type="dxa"/>
            <w:right w:w="108" w:type="dxa"/>
          </w:tblCellMar>
        </w:tblPrEx>
        <w:trPr>
          <w:trHeight w:val="687"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8</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小儿复方钙颗粒复合膜</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kg</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16974</w:t>
            </w:r>
          </w:p>
        </w:tc>
      </w:tr>
      <w:tr>
        <w:tblPrEx>
          <w:tblCellMar>
            <w:top w:w="0" w:type="dxa"/>
            <w:left w:w="108" w:type="dxa"/>
            <w:bottom w:w="0" w:type="dxa"/>
            <w:right w:w="108" w:type="dxa"/>
          </w:tblCellMar>
        </w:tblPrEx>
        <w:trPr>
          <w:trHeight w:val="697" w:hRule="atLeast"/>
        </w:trPr>
        <w:tc>
          <w:tcPr>
            <w:tcW w:w="382"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9</w:t>
            </w:r>
          </w:p>
        </w:tc>
        <w:tc>
          <w:tcPr>
            <w:tcW w:w="1168"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直接接触药品包材</w:t>
            </w:r>
          </w:p>
        </w:tc>
        <w:tc>
          <w:tcPr>
            <w:tcW w:w="1864"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药用低密度聚乙烯袋</w:t>
            </w:r>
          </w:p>
        </w:tc>
        <w:tc>
          <w:tcPr>
            <w:tcW w:w="42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个</w:t>
            </w:r>
          </w:p>
        </w:tc>
        <w:tc>
          <w:tcPr>
            <w:tcW w:w="1163" w:type="pct"/>
            <w:tcBorders>
              <w:top w:val="single" w:color="000000" w:sz="4" w:space="0"/>
              <w:left w:val="single" w:color="000000" w:sz="4" w:space="0"/>
              <w:bottom w:val="single" w:color="000000" w:sz="4" w:space="0"/>
              <w:right w:val="single" w:color="000000" w:sz="4" w:space="0"/>
            </w:tcBorders>
            <w:noWrap/>
            <w:vAlign w:val="center"/>
          </w:tcPr>
          <w:p>
            <w:pPr>
              <w:widowControl/>
              <w:autoSpaceDE/>
              <w:autoSpaceDN/>
              <w:spacing w:after="0" w:line="276" w:lineRule="auto"/>
              <w:jc w:val="center"/>
              <w:textAlignment w:val="center"/>
              <w:rPr>
                <w:rFonts w:ascii="Times New Roman" w:hAnsi="Times New Roman" w:cs="仿宋"/>
                <w:color w:val="000000"/>
                <w:szCs w:val="24"/>
                <w:highlight w:val="none"/>
                <w:lang w:bidi="ar"/>
              </w:rPr>
            </w:pPr>
            <w:r>
              <w:rPr>
                <w:rFonts w:hint="eastAsia" w:ascii="Times New Roman" w:hAnsi="Times New Roman" w:cs="仿宋"/>
                <w:color w:val="000000"/>
                <w:szCs w:val="24"/>
                <w:highlight w:val="none"/>
                <w:lang w:bidi="ar"/>
              </w:rPr>
              <w:t>5000</w:t>
            </w:r>
          </w:p>
        </w:tc>
      </w:tr>
    </w:tbl>
    <w:p>
      <w:pPr>
        <w:pStyle w:val="7"/>
        <w:spacing w:after="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（二）具体要求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1、口服液体药用高密度聚乙烯瓶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本次招标的口服液体药用高密度聚乙烯瓶包括以下三种规格：口服液体药用高密度聚乙烯瓶100ml（棕色）、口服液体药用高密度聚乙烯瓶100ml、口服液体药用高密度聚乙烯瓶10ml，采购需求如下。</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1.1 制造商须具备有效的药包材登记证明：应在国家药品监督管理局药品审评中心网站登记可查，登记品种名称“口服液体药用高密度聚乙烯瓶”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1.2 </w:t>
      </w:r>
      <w:r>
        <w:rPr>
          <w:rFonts w:hint="default" w:ascii="Times New Roman" w:hAnsi="Times New Roman"/>
          <w:bCs/>
          <w:sz w:val="24"/>
          <w:szCs w:val="24"/>
          <w:highlight w:val="none"/>
          <w:lang w:eastAsia="zh-CN"/>
        </w:rPr>
        <w:t>产品生产原料及制作要求：</w:t>
      </w:r>
      <w:r>
        <w:rPr>
          <w:rFonts w:ascii="Times New Roman" w:hAnsi="Times New Roman"/>
          <w:bCs/>
          <w:sz w:val="24"/>
          <w:szCs w:val="24"/>
          <w:highlight w:val="none"/>
          <w:lang w:eastAsia="zh-CN"/>
        </w:rPr>
        <w:t>口服液体药用高密度聚乙烯瓶以高密度聚乙烯（HDPE）为主要原料。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1.3 </w:t>
      </w:r>
      <w:r>
        <w:rPr>
          <w:rFonts w:hint="default" w:ascii="Times New Roman" w:hAnsi="Times New Roman"/>
          <w:bCs/>
          <w:sz w:val="24"/>
          <w:szCs w:val="24"/>
          <w:highlight w:val="none"/>
          <w:lang w:eastAsia="zh-CN"/>
        </w:rPr>
        <w:t>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（1）执行标准：YBB00092002-2015口服液体药用高密度聚乙烯瓶；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（2）资质要求：《产品注册证》应符合国家相关规定；产品注册登记信息在国家药品监督管理局药品审评中心药包材登记数据查询网站中查证；</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（3）型检报告：应每年提供至少一批国家法定机构出具的《型检报告书》；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（5）容量规格：原料色10ml；原料色100ml；棕色100ml；</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（6）质量标准项目：外观、鉴别、密封性、抗跌落、水蒸气透过量、炽灼残渣、溶出物试验、脱色试验、微生物限度、异常毒性项目符合上述执行标准要求。</w:t>
      </w:r>
      <w:r>
        <w:rPr>
          <w:rFonts w:ascii="Times New Roman" w:hAnsi="Times New Roman"/>
          <w:b/>
          <w:sz w:val="24"/>
          <w:szCs w:val="24"/>
          <w:highlight w:val="none"/>
          <w:lang w:eastAsia="zh-CN"/>
        </w:rPr>
        <w:t>微生物限度方面，在符合上述标准的情况下，还需符合YBB00392003-2015外用液体药用高密度聚乙烯瓶此项目下的要求（控制菌需检测：大肠埃希菌、金黄色葡萄球菌、铜绿假单胞杆菌）。</w:t>
      </w:r>
      <w:r>
        <w:rPr>
          <w:rFonts w:ascii="Times New Roman" w:hAnsi="Times New Roman"/>
          <w:bCs/>
          <w:sz w:val="24"/>
          <w:szCs w:val="24"/>
          <w:highlight w:val="none"/>
          <w:lang w:eastAsia="zh-CN"/>
        </w:rPr>
        <w:t>皮肤刺激符合YBB00392003-2015外用液体药用高密度聚乙烯瓶此项目下的要求。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（7）其它要求：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①瓶盖与瓶体要配套，无污染、色差、无披锋及缺胶；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②瓶口外螺纹与瓶盖内螺纹契合锁紧不脱扣、不滑丝；</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③瓶体和瓶盖内、外无异物，如粉尘、油污、纤维、黑点等。</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（8）备注：本产品用于口服和外用制剂。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2、钠钙玻璃模制药瓶</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2.1 制造商须具备有效的药包材登记证明：应在国家药品监督管理局药品审评中心网站登记可查，登记品种名称“钠钙玻璃模制药瓶”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2.2 产品生产原料要求：模制药瓶材质为钠钙玻璃。</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（1）模制药瓶符合YBB00272002-2015国家标准的各项指标；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（2）模制药瓶容量规格为100毫升；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（3）外观：棕色透明；</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（4）型检报告：应每年提供至少一批国家法定机构出具的全项检验的《型检报告书》；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3、口服液瓶用铝盖</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3.1 制造商须具备有效的药包材登记证明：应在国家药品监督管理局药品审评中心网站登记可查，登记品种名称“口服液瓶用铝盖”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3.2 产品生产原料要求：盖体材质为铝质；垫片材质为溴化丁基橡胶。</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 xml:space="preserve">3.3 </w:t>
      </w:r>
      <w:r>
        <w:rPr>
          <w:rFonts w:hint="default" w:ascii="Times New Roman" w:hAnsi="Times New Roman"/>
          <w:bCs/>
          <w:sz w:val="24"/>
          <w:szCs w:val="24"/>
          <w:highlight w:val="none"/>
          <w:lang w:eastAsia="zh-CN"/>
        </w:rPr>
        <w:t>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（1）口服液瓶用铝盖符合制造商已备案的企业标准中的各项指标，并能分别提供铝盖以及溴化丁基垫片的企业标准；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（2）铝盖规格尺寸及偏差要求为：内径27.6mm±0.4mm；内高18.16mm±0.4mm；盖厚度0.24mm±0.04mm；盖高度12.85mm±0.4mm；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（3）外观：金黄色；</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（4）型检报告：应每年提供至少一批国家法定机构出具的全项检验的《型检报告书》；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（5）制造商检测报告书：每批产品应附《出厂检验报告书》，并符合上述执行标准规定的出厂检验要求；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（6）其他要求：需先来小样，确定瓶盖与瓶体的适合性。</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4、20g铝质药用软膏管</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4.1 制造商须具备有效的药包材登记证明：应在国家药品监督管理局药品审评中心网站登记可查，登记品种名称“铝质药用软膏管”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4.2 产品生产原料要求：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（1）铝管的材质：应选用铝含量不低于 99.7%的纯铝；</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（2）内涂层材质：应为环氧树脂；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（3）管帽材质：应采用食品级塑料。</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（1）执行标准：应符合 YBB00162002-2015 国家标准的各项指标；</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（2）型检报告：应每年提供至少一批国家法定机构出具的《全项检验报告书》；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（3）制造商检测报告书：每批产品应附《出厂检验报告书》；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（4）投标人应具备生产工艺流程图；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（5）投标人应具备企业内控质量标准。</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4.4 技术指标（需提供《全项检验报告书》和《出厂报告书》，各项技术指标均须在上述报告书中明确体现，否则不予认可）</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（1）容量规格：20 克；</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（2）工艺要求：应经过退火；</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（3）管型结构要求：应分为铝质管体和塑料管帽两部分，管口形式为薄顶铝管；</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（4）管尾内壁加封尾胶：封尾胶位置为管体内壁，距离管尾 2mm 处，宽度为 6 mm±0.5mm；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（5）外观和文字：印刷图文应清晰完整，位置正确；印刷表面平整光洁，铝管内外应清洁，无加工残屑及其他异物。铝管尾涂表面应均匀，无流挂；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（6）印刷质量（色差）：与标准色差对比，每批超出色差范围产品不得过0.1%；</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（7）尺寸：直径：19mm±0.1 mm，管长 125mm±0.5 mm，管壁厚度：0.130mm±0.01mm；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（8）铝管重量偏差：应≤0.20g；</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（9）内涂层厚度：每批产品应检测内涂层厚度，其厚度应在 6-14μm；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（10）微生物限度：细菌数每支不得过 100cfu，霉菌和酵母菌数每支不得过 100cfu，不得检出金黄色葡萄球菌、铜绿假单胞菌。</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5、小儿复方钙颗粒复合膜</w:t>
      </w:r>
    </w:p>
    <w:p>
      <w:pPr>
        <w:pStyle w:val="7"/>
        <w:spacing w:after="0"/>
        <w:ind w:firstLine="420" w:firstLineChars="200"/>
        <w:rPr>
          <w:rFonts w:hint="default" w:ascii="Times New Roman" w:hAnsi="Times New Roman"/>
          <w:b/>
          <w:sz w:val="24"/>
          <w:szCs w:val="24"/>
          <w:highlight w:val="none"/>
          <w:lang w:eastAsia="zh-CN"/>
        </w:rPr>
      </w:pPr>
      <w:r>
        <w:rPr>
          <w:rFonts w:ascii="Times New Roman" w:hAnsi="Times New Roman" w:cs="Segoe UI Symbol"/>
          <w:bCs/>
          <w:szCs w:val="24"/>
          <w:highlight w:val="none"/>
          <w:lang w:eastAsia="zh-CN"/>
        </w:rPr>
        <w:t>★</w:t>
      </w:r>
      <w:r>
        <w:rPr>
          <w:rFonts w:ascii="Times New Roman" w:hAnsi="Times New Roman"/>
          <w:b/>
          <w:sz w:val="24"/>
          <w:szCs w:val="24"/>
          <w:highlight w:val="none"/>
          <w:lang w:eastAsia="zh-CN"/>
        </w:rPr>
        <w:t>5.1 制造商须具备有效的药包材登记证明：应在国家药品监督管理局药品审评中心网站登记可查，登记品种名称“聚酯/铝/聚乙烯药用复合膜”且与制剂共同审评审批结果为“A”。投标人应提供国家药品监督管理局药品审评中心网站登记截图加盖公章，否则投标无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5.2 产品生产原料要求：聚酯（PET）与铝（AL）及聚乙烯（PE）通过黏合剂复合而成的膜；单品种单次订单供货为同一批物料。（需提供相关证明材料并加盖公章）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5.3 技术要求：</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w:t>
      </w:r>
      <w:r>
        <w:rPr>
          <w:rFonts w:hint="default" w:ascii="Times New Roman" w:hAnsi="Times New Roman"/>
          <w:bCs/>
          <w:sz w:val="24"/>
          <w:szCs w:val="24"/>
          <w:highlight w:val="none"/>
          <w:lang w:eastAsia="zh-CN"/>
        </w:rPr>
        <w:t>投标人需具备企业内控标准。（需提供相关证明材料并加盖公章）</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（2）</w:t>
      </w:r>
      <w:r>
        <w:rPr>
          <w:rFonts w:hint="default" w:ascii="Times New Roman" w:hAnsi="Times New Roman"/>
          <w:bCs/>
          <w:sz w:val="24"/>
          <w:szCs w:val="24"/>
          <w:highlight w:val="none"/>
          <w:lang w:eastAsia="zh-CN"/>
        </w:rPr>
        <w:t>检测报告书：每批产品应附按照YBB00172002-2015国家标准全检的《检验报告书》。</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（3）</w:t>
      </w:r>
      <w:r>
        <w:rPr>
          <w:rFonts w:hint="default" w:ascii="Times New Roman" w:hAnsi="Times New Roman"/>
          <w:bCs/>
          <w:sz w:val="24"/>
          <w:szCs w:val="24"/>
          <w:highlight w:val="none"/>
          <w:lang w:eastAsia="zh-CN"/>
        </w:rPr>
        <w:t>投标人需提供生产工艺流程图。</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（4）</w:t>
      </w:r>
      <w:r>
        <w:rPr>
          <w:rFonts w:hint="default" w:ascii="Times New Roman" w:hAnsi="Times New Roman"/>
          <w:bCs/>
          <w:sz w:val="24"/>
          <w:szCs w:val="24"/>
          <w:highlight w:val="none"/>
          <w:lang w:eastAsia="zh-CN"/>
        </w:rPr>
        <w:t>工艺要求：为多通道复合膜，中间涂胶层厚度，每平方米不高于 4.0g。</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（5）</w:t>
      </w:r>
      <w:r>
        <w:rPr>
          <w:rFonts w:hint="default" w:ascii="Times New Roman" w:hAnsi="Times New Roman"/>
          <w:bCs/>
          <w:sz w:val="24"/>
          <w:szCs w:val="24"/>
          <w:highlight w:val="none"/>
          <w:lang w:eastAsia="zh-CN"/>
        </w:rPr>
        <w:t>复合膜厚度：PET</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12μm；铝</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AL</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7μm；聚乙烯</w:t>
      </w:r>
      <w:r>
        <w:rPr>
          <w:rFonts w:ascii="Times New Roman" w:hAnsi="Times New Roman"/>
          <w:bCs/>
          <w:sz w:val="24"/>
          <w:szCs w:val="24"/>
          <w:highlight w:val="none"/>
          <w:lang w:eastAsia="zh-CN"/>
        </w:rPr>
        <w:t>（</w:t>
      </w:r>
      <w:r>
        <w:rPr>
          <w:rFonts w:hint="default" w:ascii="Times New Roman" w:hAnsi="Times New Roman"/>
          <w:bCs/>
          <w:sz w:val="24"/>
          <w:szCs w:val="24"/>
          <w:highlight w:val="none"/>
          <w:lang w:eastAsia="zh-CN"/>
        </w:rPr>
        <w:t>PE</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55μm（±10%）；总厚度</w:t>
      </w:r>
      <w:r>
        <w:rPr>
          <w:rFonts w:ascii="Times New Roman" w:hAnsi="Times New Roman"/>
          <w:bCs/>
          <w:sz w:val="24"/>
          <w:szCs w:val="24"/>
          <w:highlight w:val="none"/>
          <w:lang w:eastAsia="zh-CN"/>
        </w:rPr>
        <w:t>达到</w:t>
      </w:r>
      <w:r>
        <w:rPr>
          <w:rFonts w:hint="default" w:ascii="Times New Roman" w:hAnsi="Times New Roman"/>
          <w:bCs/>
          <w:sz w:val="24"/>
          <w:szCs w:val="24"/>
          <w:highlight w:val="none"/>
          <w:lang w:eastAsia="zh-CN"/>
        </w:rPr>
        <w:t>80μm，厚度偏差为±10%</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（6）</w:t>
      </w:r>
      <w:r>
        <w:rPr>
          <w:rFonts w:hint="default" w:ascii="Times New Roman" w:hAnsi="Times New Roman"/>
          <w:bCs/>
          <w:sz w:val="24"/>
          <w:szCs w:val="24"/>
          <w:highlight w:val="none"/>
          <w:lang w:eastAsia="zh-CN"/>
        </w:rPr>
        <w:t>外观：不得有穿孔、异物、异味、粘连、复合层间分离及明显损伤、气泡、皱纹、脏污等缺陷。</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（7）</w:t>
      </w:r>
      <w:r>
        <w:rPr>
          <w:rFonts w:hint="default" w:ascii="Times New Roman" w:hAnsi="Times New Roman"/>
          <w:bCs/>
          <w:sz w:val="24"/>
          <w:szCs w:val="24"/>
          <w:highlight w:val="none"/>
          <w:lang w:eastAsia="zh-CN"/>
        </w:rPr>
        <w:t>印刷质量：印刷的文字、图案清晰、完整，色彩均匀，无明显色差，套印位置偏差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0.5mm，商标套印位置偏差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0.1mm。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（8）</w:t>
      </w:r>
      <w:r>
        <w:rPr>
          <w:rFonts w:hint="default" w:ascii="Times New Roman" w:hAnsi="Times New Roman"/>
          <w:bCs/>
          <w:sz w:val="24"/>
          <w:szCs w:val="24"/>
          <w:highlight w:val="none"/>
          <w:lang w:eastAsia="zh-CN"/>
        </w:rPr>
        <w:t>尺寸与偏差：宽度为850mm，宽度偏差为±2.0mm。</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（9）</w:t>
      </w:r>
      <w:r>
        <w:rPr>
          <w:rFonts w:hint="default" w:ascii="Times New Roman" w:hAnsi="Times New Roman"/>
          <w:bCs/>
          <w:sz w:val="24"/>
          <w:szCs w:val="24"/>
          <w:highlight w:val="none"/>
          <w:lang w:eastAsia="zh-CN"/>
        </w:rPr>
        <w:t>卷筒：两端面应平整，平面度公差</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2mm，卷筒应紧实，卷心不得自由脱落或松动。</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（10）</w:t>
      </w:r>
      <w:r>
        <w:rPr>
          <w:rFonts w:hint="default" w:ascii="Times New Roman" w:hAnsi="Times New Roman"/>
          <w:bCs/>
          <w:sz w:val="24"/>
          <w:szCs w:val="24"/>
          <w:highlight w:val="none"/>
          <w:lang w:eastAsia="zh-CN"/>
        </w:rPr>
        <w:t>每卷接头数：膜长&lt;500m 不多于1个，膜长</w:t>
      </w:r>
      <w:r>
        <w:rPr>
          <w:rFonts w:hint="default" w:asciiTheme="minorEastAsia" w:hAnsiTheme="minorEastAsia" w:eastAsiaTheme="minorEastAsia"/>
          <w:bCs/>
          <w:sz w:val="24"/>
          <w:szCs w:val="24"/>
          <w:highlight w:val="none"/>
          <w:lang w:eastAsia="zh-CN"/>
        </w:rPr>
        <w:t>≥</w:t>
      </w:r>
      <w:r>
        <w:rPr>
          <w:rFonts w:hint="default" w:ascii="Times New Roman" w:hAnsi="Times New Roman"/>
          <w:bCs/>
          <w:sz w:val="24"/>
          <w:szCs w:val="24"/>
          <w:highlight w:val="none"/>
          <w:lang w:eastAsia="zh-CN"/>
        </w:rPr>
        <w:t>500m 不多于2个。接头处应有牢固、明显的标记。</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（11）</w:t>
      </w:r>
      <w:r>
        <w:rPr>
          <w:rFonts w:hint="default" w:ascii="Times New Roman" w:hAnsi="Times New Roman"/>
          <w:bCs/>
          <w:sz w:val="24"/>
          <w:szCs w:val="24"/>
          <w:highlight w:val="none"/>
          <w:lang w:eastAsia="zh-CN"/>
        </w:rPr>
        <w:t>复合方向：复合膜中间的铝箔应以亚光面向外进行复合。</w:t>
      </w:r>
    </w:p>
    <w:p>
      <w:pPr>
        <w:pStyle w:val="7"/>
        <w:spacing w:after="0"/>
        <w:ind w:firstLine="480" w:firstLineChars="200"/>
        <w:rPr>
          <w:rFonts w:hint="default" w:ascii="Times New Roman" w:hAnsi="Times New Roman"/>
          <w:bCs/>
          <w:sz w:val="24"/>
          <w:szCs w:val="24"/>
          <w:highlight w:val="none"/>
          <w:lang w:eastAsia="zh-CN"/>
        </w:rPr>
      </w:pPr>
      <w:r>
        <w:rPr>
          <w:rFonts w:ascii="Times New Roman" w:hAnsi="Times New Roman"/>
          <w:bCs/>
          <w:sz w:val="24"/>
          <w:szCs w:val="24"/>
          <w:highlight w:val="none"/>
          <w:lang w:eastAsia="zh-CN"/>
        </w:rPr>
        <w:t>（12）</w:t>
      </w:r>
      <w:r>
        <w:rPr>
          <w:rFonts w:hint="default" w:ascii="Times New Roman" w:hAnsi="Times New Roman"/>
          <w:bCs/>
          <w:sz w:val="24"/>
          <w:szCs w:val="24"/>
          <w:highlight w:val="none"/>
          <w:lang w:eastAsia="zh-CN"/>
        </w:rPr>
        <w:t>放卷方向：复合膜放卷方向应采用地脚方式。</w:t>
      </w:r>
    </w:p>
    <w:p>
      <w:pPr>
        <w:widowControl/>
        <w:autoSpaceDE/>
        <w:autoSpaceDN/>
        <w:spacing w:after="0"/>
        <w:ind w:firstLine="420" w:firstLineChars="200"/>
        <w:rPr>
          <w:rFonts w:ascii="Times New Roman" w:hAnsi="Times New Roman"/>
          <w:bCs/>
          <w:szCs w:val="24"/>
          <w:highlight w:val="none"/>
        </w:rPr>
      </w:pPr>
      <w:r>
        <w:rPr>
          <w:rFonts w:ascii="Times New Roman" w:hAnsi="Times New Roman"/>
          <w:bCs/>
          <w:szCs w:val="24"/>
          <w:highlight w:val="none"/>
        </w:rPr>
        <w:t>（1</w:t>
      </w:r>
      <w:r>
        <w:rPr>
          <w:rFonts w:hint="eastAsia" w:ascii="Times New Roman" w:hAnsi="Times New Roman"/>
          <w:bCs/>
          <w:szCs w:val="24"/>
          <w:highlight w:val="none"/>
        </w:rPr>
        <w:t>3</w:t>
      </w:r>
      <w:r>
        <w:rPr>
          <w:rFonts w:ascii="Times New Roman" w:hAnsi="Times New Roman"/>
          <w:bCs/>
          <w:szCs w:val="24"/>
          <w:highlight w:val="none"/>
        </w:rPr>
        <w:t>）其他要求：复合膜中间应印刷黑色断裂线以利对标。</w:t>
      </w:r>
    </w:p>
    <w:p>
      <w:pPr>
        <w:widowControl/>
        <w:autoSpaceDE/>
        <w:autoSpaceDN/>
        <w:spacing w:after="0"/>
        <w:ind w:firstLine="420" w:firstLineChars="200"/>
        <w:rPr>
          <w:rFonts w:ascii="Times New Roman" w:hAnsi="Times New Roman"/>
          <w:bCs/>
          <w:szCs w:val="24"/>
          <w:highlight w:val="none"/>
        </w:rPr>
      </w:pPr>
      <w:r>
        <w:rPr>
          <w:rFonts w:hint="eastAsia" w:ascii="Times New Roman" w:hAnsi="Times New Roman"/>
          <w:bCs/>
          <w:szCs w:val="24"/>
          <w:highlight w:val="none"/>
        </w:rPr>
        <w:t>6、药用低密度聚乙烯袋</w:t>
      </w:r>
    </w:p>
    <w:p>
      <w:pPr>
        <w:widowControl/>
        <w:autoSpaceDE/>
        <w:autoSpaceDN/>
        <w:spacing w:after="0"/>
        <w:ind w:firstLine="422" w:firstLineChars="200"/>
        <w:rPr>
          <w:rFonts w:ascii="Times New Roman" w:hAnsi="Times New Roman"/>
          <w:b/>
          <w:bCs/>
          <w:highlight w:val="none"/>
        </w:rPr>
      </w:pPr>
      <w:r>
        <w:rPr>
          <w:rFonts w:hint="eastAsia" w:ascii="Times New Roman" w:hAnsi="Times New Roman"/>
          <w:b/>
          <w:bCs/>
          <w:highlight w:val="none"/>
        </w:rPr>
        <w:t>★6.1 制造商须具备有效的药包材登记证明：应在国家药品监督管理局药品审评中心网站登记可查，登记品种名称“药用低密度聚乙烯袋”且与制剂共同审评审批结果为“A”。</w:t>
      </w:r>
      <w:r>
        <w:rPr>
          <w:rFonts w:ascii="Times New Roman" w:hAnsi="Times New Roman"/>
          <w:b/>
          <w:szCs w:val="24"/>
          <w:highlight w:val="none"/>
        </w:rPr>
        <w:t>投标人应提供国家药品监督管理局药品审评中心网站登记截图加盖公章，否则投标无效。</w:t>
      </w:r>
    </w:p>
    <w:p>
      <w:pPr>
        <w:widowControl/>
        <w:autoSpaceDE/>
        <w:autoSpaceDN/>
        <w:spacing w:after="0"/>
        <w:ind w:firstLine="420" w:firstLineChars="200"/>
        <w:rPr>
          <w:rFonts w:ascii="Times New Roman" w:hAnsi="Times New Roman"/>
          <w:highlight w:val="none"/>
        </w:rPr>
      </w:pPr>
      <w:r>
        <w:rPr>
          <w:rFonts w:hint="eastAsia" w:ascii="Times New Roman" w:hAnsi="Times New Roman"/>
          <w:highlight w:val="none"/>
        </w:rPr>
        <w:t>6.2 产品生产原料要求：材质为低密度聚乙烯。</w:t>
      </w:r>
    </w:p>
    <w:p>
      <w:pPr>
        <w:widowControl/>
        <w:autoSpaceDE/>
        <w:autoSpaceDN/>
        <w:spacing w:after="0"/>
        <w:ind w:firstLine="420" w:firstLineChars="200"/>
        <w:rPr>
          <w:rFonts w:ascii="Times New Roman" w:hAnsi="Times New Roman"/>
          <w:highlight w:val="none"/>
        </w:rPr>
      </w:pPr>
      <w:r>
        <w:rPr>
          <w:rFonts w:hint="eastAsia" w:ascii="Times New Roman" w:hAnsi="Times New Roman"/>
          <w:highlight w:val="none"/>
        </w:rPr>
        <w:t>6.3 技术要求：颜色为透明，尺寸符合长880mm，宽610mm，厚度不小于0.06mm。</w:t>
      </w:r>
    </w:p>
    <w:p>
      <w:pPr>
        <w:widowControl/>
        <w:autoSpaceDE/>
        <w:autoSpaceDN/>
        <w:spacing w:line="278" w:lineRule="auto"/>
        <w:rPr>
          <w:rFonts w:hint="default"/>
          <w:b/>
          <w:bCs/>
          <w:sz w:val="32"/>
          <w:szCs w:val="40"/>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53</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2227A"/>
    <w:multiLevelType w:val="singleLevel"/>
    <w:tmpl w:val="E27222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203D56BA"/>
    <w:rsid w:val="37214F00"/>
    <w:rsid w:val="384C2197"/>
    <w:rsid w:val="394D2B6F"/>
    <w:rsid w:val="3EB45BD4"/>
    <w:rsid w:val="4B7E2B6C"/>
    <w:rsid w:val="5D9D153B"/>
    <w:rsid w:val="5F00780B"/>
    <w:rsid w:val="656F61B5"/>
    <w:rsid w:val="66A16A95"/>
    <w:rsid w:val="67975438"/>
    <w:rsid w:val="6D8469AD"/>
    <w:rsid w:val="6DA01CBF"/>
    <w:rsid w:val="70F013FA"/>
    <w:rsid w:val="71F4514F"/>
    <w:rsid w:val="77463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outlineLvl w:val="1"/>
    </w:pPr>
    <w:rPr>
      <w:rFonts w:ascii="Times New Roman" w:hAnsi="Times New Roman"/>
      <w:b/>
      <w:szCs w:val="52"/>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Plain Text"/>
    <w:basedOn w:val="1"/>
    <w:qFormat/>
    <w:uiPriority w:val="0"/>
    <w:rPr>
      <w:rFonts w:hint="eastAsia" w:ascii="宋体" w:hAnsi="Courier New"/>
      <w:szCs w:val="20"/>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tabs>
        <w:tab w:val="right" w:leader="dot" w:pos="8937"/>
      </w:tabs>
      <w:spacing w:line="312" w:lineRule="auto"/>
      <w:ind w:left="420" w:leftChars="20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annotation reference"/>
    <w:basedOn w:val="14"/>
    <w:qFormat/>
    <w:uiPriority w:val="99"/>
    <w:rPr>
      <w:sz w:val="21"/>
      <w:szCs w:val="21"/>
    </w:rPr>
  </w:style>
  <w:style w:type="paragraph" w:customStyle="1" w:styleId="17">
    <w:name w:val="SOW正文"/>
    <w:basedOn w:val="1"/>
    <w:qFormat/>
    <w:uiPriority w:val="0"/>
    <w:pPr>
      <w:snapToGrid w:val="0"/>
      <w:spacing w:before="120" w:line="400" w:lineRule="exact"/>
      <w:ind w:firstLine="425"/>
    </w:pPr>
    <w:rPr>
      <w:rFonts w:ascii="Times New Roman" w:hAnsi="Times New Roman"/>
      <w:sz w:val="24"/>
      <w:szCs w:val="20"/>
    </w:rPr>
  </w:style>
  <w:style w:type="paragraph" w:styleId="18">
    <w:name w:val="List Paragraph"/>
    <w:basedOn w:val="1"/>
    <w:qFormat/>
    <w:uiPriority w:val="34"/>
    <w:pPr>
      <w:ind w:firstLine="420" w:firstLineChars="200"/>
    </w:pPr>
    <w:rPr>
      <w:rFonts w:cs="Times New Roman"/>
      <w:szCs w:val="22"/>
    </w:rPr>
  </w:style>
  <w:style w:type="table" w:customStyle="1" w:styleId="19">
    <w:name w:val="网格型1"/>
    <w:basedOn w:val="12"/>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1">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character" w:customStyle="1" w:styleId="22">
    <w:name w:val="font11"/>
    <w:basedOn w:val="14"/>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2026-03-23T02:36:39Z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