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2"/>
          <w:szCs w:val="40"/>
          <w:lang w:val="en-US" w:eastAsia="zh-CN"/>
        </w:rPr>
      </w:pPr>
      <w:r>
        <w:rPr>
          <w:rFonts w:hint="eastAsia" w:ascii="Times New Roman" w:hAnsi="Times New Roman"/>
          <w:b/>
          <w:bCs/>
          <w:sz w:val="36"/>
        </w:rPr>
        <w:t>首都医科大学附属首都儿童医学中心</w:t>
      </w:r>
      <w:r>
        <w:rPr>
          <w:rFonts w:hint="eastAsia" w:ascii="Times New Roman" w:hAnsi="Times New Roman"/>
          <w:b/>
          <w:bCs/>
          <w:sz w:val="36"/>
          <w:lang w:val="en-US" w:eastAsia="zh-CN"/>
        </w:rPr>
        <w:t xml:space="preserve">            HIS系统运维服务项目</w:t>
      </w:r>
      <w:r>
        <w:rPr>
          <w:rFonts w:hint="eastAsia"/>
          <w:b/>
          <w:bCs/>
          <w:sz w:val="32"/>
          <w:szCs w:val="40"/>
          <w:lang w:val="en-US" w:eastAsia="zh-CN"/>
        </w:rPr>
        <w:t>采购需求</w:t>
      </w:r>
    </w:p>
    <w:p>
      <w:pPr>
        <w:pStyle w:val="19"/>
        <w:snapToGrid/>
        <w:spacing w:before="0" w:line="360" w:lineRule="auto"/>
        <w:ind w:left="-208" w:firstLine="0"/>
        <w:contextualSpacing/>
        <w:rPr>
          <w:rFonts w:ascii="仿宋" w:hAnsi="仿宋" w:eastAsia="仿宋"/>
          <w:b/>
          <w:szCs w:val="24"/>
        </w:rPr>
      </w:pPr>
      <w:r>
        <w:rPr>
          <w:rFonts w:hint="eastAsia" w:ascii="仿宋" w:hAnsi="仿宋" w:eastAsia="仿宋"/>
          <w:b/>
          <w:szCs w:val="24"/>
        </w:rPr>
        <w:t>（一）采购标的的数量</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5"/>
        <w:gridCol w:w="4743"/>
        <w:gridCol w:w="1067"/>
        <w:gridCol w:w="1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07" w:type="pct"/>
            <w:shd w:val="clear" w:color="auto" w:fill="auto"/>
            <w:vAlign w:val="center"/>
          </w:tcPr>
          <w:p>
            <w:pPr>
              <w:widowControl/>
              <w:spacing w:line="360" w:lineRule="auto"/>
              <w:contextualSpacing/>
              <w:jc w:val="center"/>
              <w:rPr>
                <w:rFonts w:ascii="仿宋" w:hAnsi="仿宋" w:eastAsia="仿宋" w:cs="宋体"/>
                <w:kern w:val="0"/>
                <w:sz w:val="24"/>
              </w:rPr>
            </w:pPr>
            <w:r>
              <w:rPr>
                <w:rFonts w:hint="eastAsia" w:ascii="仿宋" w:hAnsi="仿宋" w:eastAsia="仿宋" w:cs="宋体"/>
                <w:kern w:val="0"/>
                <w:sz w:val="24"/>
              </w:rPr>
              <w:t>包号</w:t>
            </w:r>
          </w:p>
        </w:tc>
        <w:tc>
          <w:tcPr>
            <w:tcW w:w="2783" w:type="pct"/>
            <w:shd w:val="clear" w:color="auto" w:fill="auto"/>
            <w:vAlign w:val="center"/>
          </w:tcPr>
          <w:p>
            <w:pPr>
              <w:widowControl/>
              <w:spacing w:line="360" w:lineRule="auto"/>
              <w:contextualSpacing/>
              <w:jc w:val="center"/>
              <w:rPr>
                <w:rFonts w:ascii="仿宋" w:hAnsi="仿宋" w:eastAsia="仿宋" w:cs="宋体"/>
                <w:kern w:val="0"/>
                <w:sz w:val="24"/>
              </w:rPr>
            </w:pPr>
            <w:r>
              <w:rPr>
                <w:rFonts w:hint="eastAsia" w:ascii="仿宋" w:hAnsi="仿宋" w:eastAsia="仿宋" w:cs="宋体"/>
                <w:kern w:val="0"/>
                <w:sz w:val="24"/>
              </w:rPr>
              <w:t>标的名称</w:t>
            </w:r>
          </w:p>
        </w:tc>
        <w:tc>
          <w:tcPr>
            <w:tcW w:w="626" w:type="pct"/>
            <w:vAlign w:val="center"/>
          </w:tcPr>
          <w:p>
            <w:pPr>
              <w:widowControl/>
              <w:spacing w:line="360" w:lineRule="auto"/>
              <w:contextualSpacing/>
              <w:jc w:val="center"/>
              <w:rPr>
                <w:rFonts w:ascii="仿宋" w:hAnsi="仿宋" w:eastAsia="仿宋" w:cs="宋体"/>
                <w:kern w:val="0"/>
                <w:sz w:val="24"/>
              </w:rPr>
            </w:pPr>
            <w:r>
              <w:rPr>
                <w:rFonts w:hint="eastAsia" w:ascii="仿宋" w:hAnsi="仿宋" w:eastAsia="仿宋" w:cs="宋体"/>
                <w:kern w:val="0"/>
                <w:sz w:val="24"/>
              </w:rPr>
              <w:t>数量</w:t>
            </w:r>
          </w:p>
        </w:tc>
        <w:tc>
          <w:tcPr>
            <w:tcW w:w="984" w:type="pct"/>
            <w:vAlign w:val="center"/>
          </w:tcPr>
          <w:p>
            <w:pPr>
              <w:widowControl/>
              <w:spacing w:line="360" w:lineRule="auto"/>
              <w:contextualSpacing/>
              <w:jc w:val="center"/>
              <w:rPr>
                <w:rFonts w:ascii="仿宋" w:hAnsi="仿宋" w:eastAsia="仿宋" w:cs="宋体"/>
                <w:kern w:val="0"/>
                <w:sz w:val="24"/>
              </w:rPr>
            </w:pPr>
            <w:r>
              <w:rPr>
                <w:rFonts w:hint="eastAsia" w:ascii="仿宋" w:hAnsi="仿宋" w:eastAsia="仿宋" w:cs="宋体"/>
                <w:kern w:val="0"/>
                <w:sz w:val="24"/>
              </w:rPr>
              <w:t>是否接受进口产品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607" w:type="pct"/>
            <w:shd w:val="clear" w:color="auto" w:fill="auto"/>
            <w:noWrap/>
            <w:vAlign w:val="center"/>
          </w:tcPr>
          <w:p>
            <w:pPr>
              <w:spacing w:line="360" w:lineRule="auto"/>
              <w:contextualSpacing/>
              <w:jc w:val="center"/>
              <w:rPr>
                <w:rFonts w:ascii="仿宋" w:hAnsi="仿宋" w:eastAsia="仿宋"/>
                <w:sz w:val="24"/>
              </w:rPr>
            </w:pPr>
            <w:r>
              <w:rPr>
                <w:rFonts w:hint="eastAsia" w:ascii="仿宋" w:hAnsi="仿宋" w:eastAsia="仿宋"/>
                <w:sz w:val="24"/>
              </w:rPr>
              <w:t>1</w:t>
            </w:r>
          </w:p>
        </w:tc>
        <w:tc>
          <w:tcPr>
            <w:tcW w:w="2783" w:type="pct"/>
            <w:shd w:val="clear" w:color="auto" w:fill="auto"/>
            <w:vAlign w:val="center"/>
          </w:tcPr>
          <w:p>
            <w:pPr>
              <w:spacing w:line="360" w:lineRule="auto"/>
              <w:contextualSpacing/>
              <w:jc w:val="center"/>
              <w:rPr>
                <w:rFonts w:ascii="仿宋" w:hAnsi="仿宋" w:eastAsia="仿宋"/>
                <w:sz w:val="24"/>
              </w:rPr>
            </w:pPr>
            <w:r>
              <w:rPr>
                <w:rFonts w:hint="eastAsia" w:ascii="仿宋" w:hAnsi="仿宋" w:eastAsia="仿宋"/>
                <w:sz w:val="24"/>
              </w:rPr>
              <w:t>HIS系统运维服务项目</w:t>
            </w:r>
          </w:p>
        </w:tc>
        <w:tc>
          <w:tcPr>
            <w:tcW w:w="626" w:type="pct"/>
            <w:noWrap/>
            <w:vAlign w:val="center"/>
          </w:tcPr>
          <w:p>
            <w:pPr>
              <w:widowControl/>
              <w:spacing w:line="360" w:lineRule="auto"/>
              <w:contextualSpacing/>
              <w:jc w:val="center"/>
              <w:rPr>
                <w:rFonts w:ascii="仿宋" w:hAnsi="仿宋" w:eastAsia="仿宋"/>
                <w:sz w:val="24"/>
              </w:rPr>
            </w:pPr>
            <w:r>
              <w:rPr>
                <w:rFonts w:hint="eastAsia" w:ascii="仿宋" w:hAnsi="仿宋" w:eastAsia="仿宋"/>
                <w:sz w:val="24"/>
              </w:rPr>
              <w:t>1项</w:t>
            </w:r>
          </w:p>
        </w:tc>
        <w:tc>
          <w:tcPr>
            <w:tcW w:w="984" w:type="pct"/>
            <w:vAlign w:val="center"/>
          </w:tcPr>
          <w:p>
            <w:pPr>
              <w:widowControl/>
              <w:spacing w:line="360" w:lineRule="auto"/>
              <w:contextualSpacing/>
              <w:jc w:val="center"/>
              <w:rPr>
                <w:rFonts w:ascii="仿宋" w:hAnsi="仿宋" w:eastAsia="仿宋"/>
                <w:sz w:val="24"/>
              </w:rPr>
            </w:pPr>
            <w:r>
              <w:rPr>
                <w:rFonts w:hint="eastAsia" w:ascii="仿宋" w:hAnsi="仿宋" w:eastAsia="仿宋"/>
                <w:sz w:val="24"/>
              </w:rPr>
              <w:t>否</w:t>
            </w:r>
          </w:p>
        </w:tc>
      </w:tr>
    </w:tbl>
    <w:p>
      <w:pPr>
        <w:pStyle w:val="19"/>
        <w:snapToGrid/>
        <w:spacing w:before="0" w:line="360" w:lineRule="auto"/>
        <w:ind w:left="-208" w:firstLine="0"/>
        <w:contextualSpacing/>
        <w:rPr>
          <w:rFonts w:ascii="仿宋" w:hAnsi="仿宋" w:eastAsia="仿宋"/>
          <w:b/>
          <w:szCs w:val="24"/>
        </w:rPr>
      </w:pPr>
      <w:r>
        <w:rPr>
          <w:rFonts w:hint="eastAsia" w:ascii="仿宋" w:hAnsi="仿宋" w:eastAsia="仿宋"/>
          <w:b/>
          <w:szCs w:val="24"/>
        </w:rPr>
        <w:t>（二）采购项目交付或者服务的时间和地点：</w:t>
      </w:r>
    </w:p>
    <w:p>
      <w:pPr>
        <w:tabs>
          <w:tab w:val="left" w:pos="900"/>
        </w:tabs>
        <w:spacing w:line="360" w:lineRule="auto"/>
        <w:contextualSpacing/>
        <w:rPr>
          <w:rFonts w:ascii="仿宋" w:hAnsi="仿宋" w:eastAsia="仿宋"/>
          <w:sz w:val="24"/>
        </w:rPr>
      </w:pPr>
      <w:r>
        <w:rPr>
          <w:rFonts w:ascii="仿宋" w:hAnsi="仿宋" w:eastAsia="仿宋" w:cs="宋体"/>
          <w:sz w:val="24"/>
        </w:rPr>
        <w:t>1</w:t>
      </w:r>
      <w:r>
        <w:rPr>
          <w:rFonts w:hint="eastAsia" w:ascii="仿宋" w:hAnsi="仿宋" w:eastAsia="仿宋" w:cs="宋体"/>
          <w:sz w:val="24"/>
        </w:rPr>
        <w:t>、</w:t>
      </w:r>
      <w:r>
        <w:rPr>
          <w:rFonts w:hint="eastAsia" w:ascii="仿宋" w:hAnsi="仿宋" w:eastAsia="仿宋"/>
          <w:sz w:val="24"/>
        </w:rPr>
        <w:t>服务时间：</w:t>
      </w:r>
      <w:r>
        <w:rPr>
          <w:rFonts w:ascii="仿宋" w:hAnsi="仿宋" w:eastAsia="仿宋"/>
          <w:sz w:val="24"/>
        </w:rPr>
        <w:t>自签订合同之日起</w:t>
      </w:r>
      <w:r>
        <w:rPr>
          <w:rFonts w:hint="eastAsia" w:ascii="仿宋" w:hAnsi="仿宋" w:eastAsia="仿宋"/>
          <w:sz w:val="24"/>
        </w:rPr>
        <w:t>1年。</w:t>
      </w:r>
    </w:p>
    <w:p>
      <w:pPr>
        <w:spacing w:line="360" w:lineRule="auto"/>
        <w:contextualSpacing/>
        <w:rPr>
          <w:rFonts w:ascii="仿宋" w:hAnsi="仿宋" w:eastAsia="仿宋"/>
          <w:sz w:val="24"/>
          <w:u w:val="single"/>
        </w:rPr>
      </w:pPr>
      <w:r>
        <w:rPr>
          <w:rFonts w:hint="eastAsia" w:ascii="仿宋" w:hAnsi="仿宋" w:eastAsia="仿宋" w:cs="宋体"/>
          <w:sz w:val="24"/>
        </w:rPr>
        <w:t>2、服务地点：首都医科大学附属首都儿童医学中心指定地点。</w:t>
      </w:r>
    </w:p>
    <w:p>
      <w:pPr>
        <w:pStyle w:val="19"/>
        <w:snapToGrid/>
        <w:spacing w:before="0" w:line="360" w:lineRule="auto"/>
        <w:ind w:firstLine="0"/>
        <w:contextualSpacing/>
        <w:rPr>
          <w:rFonts w:ascii="仿宋" w:hAnsi="仿宋" w:eastAsia="仿宋"/>
          <w:b/>
          <w:szCs w:val="24"/>
        </w:rPr>
      </w:pPr>
      <w:r>
        <w:rPr>
          <w:rFonts w:hint="eastAsia" w:ascii="仿宋" w:hAnsi="仿宋" w:eastAsia="仿宋"/>
          <w:b/>
          <w:szCs w:val="24"/>
        </w:rPr>
        <w:t>四、采购标的需满足的服务标准、期限、效率等要求</w:t>
      </w:r>
    </w:p>
    <w:p>
      <w:pPr>
        <w:tabs>
          <w:tab w:val="left" w:pos="900"/>
        </w:tabs>
        <w:spacing w:line="360" w:lineRule="auto"/>
        <w:contextualSpacing/>
        <w:rPr>
          <w:rFonts w:ascii="仿宋" w:hAnsi="仿宋" w:eastAsia="仿宋"/>
          <w:b/>
          <w:sz w:val="24"/>
        </w:rPr>
      </w:pPr>
      <w:r>
        <w:rPr>
          <w:rFonts w:hint="eastAsia" w:ascii="仿宋" w:hAnsi="仿宋" w:eastAsia="仿宋"/>
          <w:b/>
          <w:sz w:val="24"/>
        </w:rPr>
        <w:t>（一）采购标的需满足的服务标准、效率要求（以各包技术规格中要求为准，如技术规格中无要求，则以本款要求为准。）</w:t>
      </w:r>
    </w:p>
    <w:p>
      <w:pPr>
        <w:pStyle w:val="9"/>
        <w:spacing w:line="360" w:lineRule="auto"/>
        <w:ind w:left="420"/>
        <w:contextualSpacing/>
        <w:rPr>
          <w:rFonts w:hint="default" w:ascii="仿宋" w:hAnsi="仿宋" w:eastAsia="仿宋"/>
          <w:b/>
          <w:sz w:val="24"/>
          <w:szCs w:val="24"/>
        </w:rPr>
      </w:pPr>
      <w:r>
        <w:rPr>
          <w:rFonts w:ascii="仿宋" w:hAnsi="仿宋" w:eastAsia="仿宋"/>
          <w:bCs/>
          <w:sz w:val="24"/>
          <w:szCs w:val="24"/>
        </w:rPr>
        <w:t>详见七、采购招标的需满足的质量、安全、技术规格、物理特性等要求。</w:t>
      </w:r>
    </w:p>
    <w:p>
      <w:pPr>
        <w:tabs>
          <w:tab w:val="left" w:pos="900"/>
        </w:tabs>
        <w:spacing w:line="360" w:lineRule="auto"/>
        <w:contextualSpacing/>
        <w:rPr>
          <w:rFonts w:ascii="仿宋" w:hAnsi="仿宋" w:eastAsia="仿宋"/>
          <w:b/>
          <w:sz w:val="24"/>
        </w:rPr>
      </w:pPr>
      <w:r>
        <w:rPr>
          <w:rFonts w:hint="eastAsia" w:ascii="仿宋" w:hAnsi="仿宋" w:eastAsia="仿宋"/>
          <w:b/>
          <w:sz w:val="24"/>
        </w:rPr>
        <w:t>（二）采购标的需满足的服务期限要求</w:t>
      </w:r>
    </w:p>
    <w:p>
      <w:pPr>
        <w:tabs>
          <w:tab w:val="left" w:pos="900"/>
        </w:tabs>
        <w:spacing w:line="360" w:lineRule="auto"/>
        <w:contextualSpacing/>
        <w:rPr>
          <w:rFonts w:ascii="仿宋" w:hAnsi="仿宋" w:eastAsia="仿宋"/>
          <w:sz w:val="24"/>
        </w:rPr>
      </w:pPr>
      <w:r>
        <w:rPr>
          <w:rFonts w:hint="eastAsia" w:ascii="仿宋" w:hAnsi="仿宋" w:eastAsia="仿宋"/>
          <w:sz w:val="24"/>
        </w:rPr>
        <w:t>1.服务期限：</w:t>
      </w:r>
      <w:r>
        <w:rPr>
          <w:rFonts w:ascii="仿宋" w:hAnsi="仿宋" w:eastAsia="仿宋"/>
          <w:sz w:val="24"/>
        </w:rPr>
        <w:t>自签订合同之日起</w:t>
      </w:r>
      <w:r>
        <w:rPr>
          <w:rFonts w:hint="eastAsia" w:ascii="仿宋" w:hAnsi="仿宋" w:eastAsia="仿宋"/>
          <w:sz w:val="24"/>
        </w:rPr>
        <w:t>1年。</w:t>
      </w:r>
    </w:p>
    <w:p>
      <w:pPr>
        <w:pStyle w:val="19"/>
        <w:snapToGrid/>
        <w:spacing w:before="0" w:line="360" w:lineRule="auto"/>
        <w:ind w:firstLine="0"/>
        <w:contextualSpacing/>
        <w:rPr>
          <w:rFonts w:ascii="仿宋" w:hAnsi="仿宋" w:eastAsia="仿宋"/>
          <w:b/>
          <w:szCs w:val="24"/>
        </w:rPr>
      </w:pPr>
      <w:r>
        <w:rPr>
          <w:rFonts w:hint="eastAsia" w:ascii="仿宋" w:hAnsi="仿宋" w:eastAsia="仿宋"/>
          <w:b/>
          <w:szCs w:val="24"/>
        </w:rPr>
        <w:t>五、采购标的物验收标准</w:t>
      </w:r>
    </w:p>
    <w:p>
      <w:pPr>
        <w:autoSpaceDE w:val="0"/>
        <w:autoSpaceDN w:val="0"/>
        <w:spacing w:line="360" w:lineRule="auto"/>
        <w:contextualSpacing/>
        <w:rPr>
          <w:rFonts w:ascii="仿宋" w:hAnsi="仿宋" w:eastAsia="仿宋" w:cs="宋体"/>
          <w:b/>
          <w:kern w:val="0"/>
          <w:sz w:val="24"/>
        </w:rPr>
      </w:pPr>
      <w:r>
        <w:rPr>
          <w:rFonts w:hint="eastAsia" w:ascii="仿宋" w:hAnsi="仿宋" w:eastAsia="仿宋" w:cs="宋体"/>
          <w:b/>
          <w:kern w:val="0"/>
          <w:sz w:val="24"/>
        </w:rPr>
        <w:t>验收原则和时间</w:t>
      </w:r>
    </w:p>
    <w:p>
      <w:pPr>
        <w:autoSpaceDE w:val="0"/>
        <w:autoSpaceDN w:val="0"/>
        <w:spacing w:line="360" w:lineRule="auto"/>
        <w:contextualSpacing/>
        <w:rPr>
          <w:rFonts w:ascii="仿宋" w:hAnsi="仿宋" w:eastAsia="仿宋" w:cs="宋体"/>
          <w:kern w:val="0"/>
          <w:sz w:val="24"/>
        </w:rPr>
      </w:pPr>
      <w:r>
        <w:rPr>
          <w:rFonts w:hint="eastAsia" w:ascii="仿宋" w:hAnsi="仿宋" w:eastAsia="仿宋" w:cs="宋体"/>
          <w:kern w:val="0"/>
          <w:sz w:val="24"/>
        </w:rPr>
        <w:t>（一）项目实行分期实施，总体验收。</w:t>
      </w:r>
    </w:p>
    <w:p>
      <w:pPr>
        <w:autoSpaceDE w:val="0"/>
        <w:autoSpaceDN w:val="0"/>
        <w:spacing w:line="360" w:lineRule="auto"/>
        <w:contextualSpacing/>
        <w:rPr>
          <w:rFonts w:ascii="仿宋" w:hAnsi="仿宋" w:eastAsia="仿宋" w:cs="宋体"/>
          <w:kern w:val="0"/>
          <w:sz w:val="24"/>
        </w:rPr>
      </w:pPr>
      <w:r>
        <w:rPr>
          <w:rFonts w:hint="eastAsia" w:ascii="仿宋" w:hAnsi="仿宋" w:eastAsia="仿宋" w:cs="宋体"/>
          <w:kern w:val="0"/>
          <w:sz w:val="24"/>
        </w:rPr>
        <w:t>（二）验收以本合同双方约定的项目目标、实际完成情况、资金使用情况、履约进度等内容为依据。项目完成后，乙方应根据实际完成情况填写《验收申请单》，经甲方审验并签署后完成验收。</w:t>
      </w:r>
    </w:p>
    <w:p>
      <w:pPr>
        <w:autoSpaceDE w:val="0"/>
        <w:autoSpaceDN w:val="0"/>
        <w:spacing w:line="360" w:lineRule="auto"/>
        <w:contextualSpacing/>
        <w:rPr>
          <w:rFonts w:ascii="仿宋" w:hAnsi="仿宋" w:eastAsia="仿宋" w:cs="宋体"/>
          <w:kern w:val="0"/>
          <w:sz w:val="24"/>
        </w:rPr>
      </w:pPr>
      <w:r>
        <w:rPr>
          <w:rFonts w:hint="eastAsia" w:ascii="仿宋" w:hAnsi="仿宋" w:eastAsia="仿宋" w:cs="宋体"/>
          <w:kern w:val="0"/>
          <w:sz w:val="24"/>
        </w:rPr>
        <w:t>（三）</w:t>
      </w:r>
      <w:r>
        <w:rPr>
          <w:rFonts w:hint="eastAsia" w:ascii="仿宋" w:hAnsi="仿宋" w:eastAsia="仿宋"/>
          <w:kern w:val="0"/>
          <w:sz w:val="24"/>
        </w:rPr>
        <w:t>验收不合格部分，乙方应在15个工作日内提供整改方案、完成补救并经甲方验收通过。若乙方未能在15个工作日内完成补救并获得甲方验收通过，乙方按本合同约定承担违约责任。</w:t>
      </w:r>
    </w:p>
    <w:p>
      <w:pPr>
        <w:pStyle w:val="24"/>
        <w:spacing w:before="0" w:after="0"/>
        <w:ind w:firstLine="0"/>
        <w:contextualSpacing/>
        <w:rPr>
          <w:rFonts w:ascii="仿宋" w:hAnsi="仿宋" w:eastAsia="仿宋" w:cs="宋体"/>
        </w:rPr>
      </w:pPr>
      <w:r>
        <w:rPr>
          <w:rFonts w:hint="eastAsia" w:ascii="仿宋" w:hAnsi="仿宋" w:eastAsia="仿宋" w:cs="宋体"/>
          <w:b/>
        </w:rPr>
        <w:t>验收标准包含但不限于：</w:t>
      </w:r>
      <w:r>
        <w:rPr>
          <w:rFonts w:hint="eastAsia" w:ascii="仿宋" w:hAnsi="仿宋" w:eastAsia="仿宋" w:cs="宋体"/>
        </w:rPr>
        <w:t>双方约定最终完成的项目成果、技术指标、培训效果、相关情况说明书、工程师驻场服务情况等。</w:t>
      </w:r>
    </w:p>
    <w:p>
      <w:pPr>
        <w:pStyle w:val="24"/>
        <w:spacing w:before="0" w:after="0"/>
        <w:ind w:firstLine="0"/>
        <w:contextualSpacing/>
        <w:rPr>
          <w:rFonts w:ascii="仿宋" w:hAnsi="仿宋" w:eastAsia="仿宋" w:cs="宋体"/>
          <w:b/>
        </w:rPr>
      </w:pPr>
      <w:r>
        <w:rPr>
          <w:rFonts w:hint="eastAsia" w:ascii="仿宋" w:hAnsi="仿宋" w:eastAsia="仿宋" w:cs="宋体"/>
          <w:b/>
        </w:rPr>
        <w:t>验收标准</w:t>
      </w:r>
    </w:p>
    <w:p>
      <w:pPr>
        <w:spacing w:line="360" w:lineRule="auto"/>
        <w:contextualSpacing/>
        <w:rPr>
          <w:rFonts w:ascii="仿宋" w:hAnsi="仿宋" w:eastAsia="仿宋" w:cs="宋体"/>
          <w:kern w:val="0"/>
          <w:sz w:val="24"/>
        </w:rPr>
      </w:pPr>
      <w:r>
        <w:rPr>
          <w:rFonts w:hint="eastAsia" w:ascii="仿宋" w:hAnsi="仿宋" w:eastAsia="仿宋" w:cs="宋体"/>
          <w:kern w:val="0"/>
          <w:sz w:val="24"/>
        </w:rPr>
        <w:t>（一）乙方提供的项目服务应符合合同及运维方案所述的相关标准，满足甲方的需求。</w:t>
      </w:r>
    </w:p>
    <w:p>
      <w:pPr>
        <w:spacing w:line="360" w:lineRule="auto"/>
        <w:contextualSpacing/>
        <w:rPr>
          <w:rFonts w:ascii="仿宋" w:hAnsi="仿宋" w:eastAsia="仿宋" w:cs="宋体"/>
          <w:kern w:val="0"/>
          <w:sz w:val="24"/>
        </w:rPr>
      </w:pPr>
      <w:r>
        <w:rPr>
          <w:rFonts w:hint="eastAsia" w:ascii="仿宋" w:hAnsi="仿宋" w:eastAsia="仿宋" w:cs="宋体"/>
          <w:kern w:val="0"/>
          <w:sz w:val="24"/>
        </w:rPr>
        <w:t>（二）运维工作结束之日起10个工作日内，乙方应提供运维验收报告，向甲方提供运维工作产生的全部成果，包括但不限于文档、报告、培训资料等。如未按规定时间提供上述文档，则甲方有权延期向乙方支付合同尾款。</w:t>
      </w:r>
    </w:p>
    <w:p>
      <w:pPr>
        <w:spacing w:line="360" w:lineRule="auto"/>
        <w:contextualSpacing/>
        <w:rPr>
          <w:rFonts w:ascii="仿宋" w:hAnsi="仿宋" w:eastAsia="仿宋" w:cs="宋体"/>
          <w:kern w:val="0"/>
          <w:sz w:val="24"/>
        </w:rPr>
      </w:pPr>
      <w:r>
        <w:rPr>
          <w:rFonts w:hint="eastAsia" w:ascii="仿宋" w:hAnsi="仿宋" w:eastAsia="仿宋" w:cs="宋体"/>
          <w:kern w:val="0"/>
          <w:sz w:val="24"/>
        </w:rPr>
        <w:t>（三）根据本合同约定，乙方完成的服务需要由甲方确认的，甲方应在乙方提出书面要求后</w:t>
      </w:r>
      <w:r>
        <w:rPr>
          <w:rFonts w:ascii="仿宋" w:hAnsi="仿宋" w:eastAsia="仿宋" w:cs="宋体"/>
          <w:kern w:val="0"/>
          <w:sz w:val="24"/>
        </w:rPr>
        <w:t>5</w:t>
      </w:r>
      <w:r>
        <w:rPr>
          <w:rFonts w:hint="eastAsia" w:ascii="仿宋" w:hAnsi="仿宋" w:eastAsia="仿宋" w:cs="宋体"/>
          <w:kern w:val="0"/>
          <w:sz w:val="24"/>
        </w:rPr>
        <w:t>个工作日内进行签字确认，服务不符合合同要求时除外。服务一经确认，除非双方协商一致并签署书面确认书，乙方不得对其内容进行更改。</w:t>
      </w:r>
    </w:p>
    <w:p>
      <w:pPr>
        <w:spacing w:line="360" w:lineRule="auto"/>
        <w:contextualSpacing/>
        <w:rPr>
          <w:rFonts w:ascii="仿宋" w:hAnsi="仿宋" w:eastAsia="仿宋" w:cs="宋体"/>
          <w:kern w:val="0"/>
          <w:sz w:val="24"/>
        </w:rPr>
      </w:pPr>
      <w:r>
        <w:rPr>
          <w:rFonts w:hint="eastAsia" w:ascii="仿宋" w:hAnsi="仿宋" w:eastAsia="仿宋" w:cs="宋体"/>
          <w:kern w:val="0"/>
          <w:sz w:val="24"/>
        </w:rPr>
        <w:t>（四）乙方按照合同约定的进度完成相应阶段的服务后，应对项目工作进行完善的自验收，自验收通过后，向甲方提交书面验收申请及验收文档资料。甲方在收到该申请及资料后，应及时组织验收，乙方应积极配合甲方完成验收工作。</w:t>
      </w:r>
    </w:p>
    <w:p>
      <w:pPr>
        <w:spacing w:line="360" w:lineRule="auto"/>
        <w:contextualSpacing/>
        <w:rPr>
          <w:rFonts w:ascii="仿宋" w:hAnsi="仿宋" w:eastAsia="仿宋" w:cs="宋体"/>
          <w:kern w:val="0"/>
          <w:sz w:val="24"/>
        </w:rPr>
      </w:pPr>
      <w:r>
        <w:rPr>
          <w:rFonts w:hint="eastAsia" w:ascii="仿宋" w:hAnsi="仿宋" w:eastAsia="仿宋" w:cs="宋体"/>
          <w:kern w:val="0"/>
          <w:sz w:val="24"/>
        </w:rPr>
        <w:t>（五）甲方应按照合同约定对乙方服务进行验收，服务按照合同约定完成后，甲方应签署相应的验收文件。如果甲方认为乙方的服务不符合合同约定而不予验收的，应以书面形式向乙方说明不予验收的理由及依据，乙方应根据甲方的说明和限定的期限进行改进。</w:t>
      </w:r>
    </w:p>
    <w:p>
      <w:pPr>
        <w:spacing w:line="360" w:lineRule="auto"/>
        <w:contextualSpacing/>
        <w:rPr>
          <w:rFonts w:ascii="仿宋" w:hAnsi="仿宋" w:eastAsia="仿宋" w:cs="宋体"/>
          <w:kern w:val="0"/>
          <w:sz w:val="24"/>
        </w:rPr>
      </w:pPr>
      <w:r>
        <w:rPr>
          <w:rFonts w:hint="eastAsia" w:ascii="仿宋" w:hAnsi="仿宋" w:eastAsia="仿宋" w:cs="宋体"/>
          <w:kern w:val="0"/>
          <w:sz w:val="24"/>
        </w:rPr>
        <w:t>（六）甲方的验收确认并不减轻或免除后续过程中乙方的相关责任。</w:t>
      </w:r>
    </w:p>
    <w:p>
      <w:pPr>
        <w:spacing w:line="360" w:lineRule="auto"/>
        <w:contextualSpacing/>
        <w:rPr>
          <w:rFonts w:ascii="仿宋" w:hAnsi="仿宋" w:eastAsia="仿宋" w:cs="宋体"/>
          <w:kern w:val="0"/>
          <w:sz w:val="24"/>
        </w:rPr>
      </w:pPr>
      <w:r>
        <w:rPr>
          <w:rFonts w:hint="eastAsia" w:ascii="仿宋" w:hAnsi="仿宋" w:eastAsia="仿宋" w:cs="宋体"/>
          <w:kern w:val="0"/>
          <w:sz w:val="24"/>
        </w:rPr>
        <w:t>（七）对验收时未涉及或发现的，在验收后发现的乙方服务存在问题或未满足甲方提出的要求，甲方有权要求乙方提供免费服务，乙方应在甲方规定期限内完成。</w:t>
      </w:r>
    </w:p>
    <w:p>
      <w:pPr>
        <w:pStyle w:val="24"/>
        <w:spacing w:before="0" w:after="0"/>
        <w:ind w:firstLine="0"/>
        <w:contextualSpacing/>
        <w:rPr>
          <w:rFonts w:ascii="仿宋" w:hAnsi="仿宋" w:eastAsia="仿宋" w:cs="宋体"/>
        </w:rPr>
      </w:pPr>
      <w:r>
        <w:rPr>
          <w:rFonts w:hint="eastAsia" w:ascii="仿宋" w:hAnsi="仿宋" w:eastAsia="仿宋" w:cs="宋体"/>
        </w:rPr>
        <w:t>验收文档资料</w:t>
      </w:r>
    </w:p>
    <w:p>
      <w:pPr>
        <w:spacing w:line="360" w:lineRule="auto"/>
        <w:ind w:firstLine="480" w:firstLineChars="200"/>
        <w:contextualSpacing/>
        <w:rPr>
          <w:rFonts w:ascii="仿宋" w:hAnsi="仿宋" w:eastAsia="仿宋" w:cs="宋体"/>
          <w:kern w:val="0"/>
          <w:sz w:val="24"/>
        </w:rPr>
      </w:pPr>
      <w:r>
        <w:rPr>
          <w:rFonts w:hint="eastAsia" w:ascii="仿宋" w:hAnsi="仿宋" w:eastAsia="仿宋" w:cs="宋体"/>
          <w:kern w:val="0"/>
          <w:sz w:val="24"/>
        </w:rPr>
        <w:t>乙方在合同终止后5日内，乙方应按本合同验收文档要求整理全部运维文档，向甲方提交验收申请及验收材料（包含电子文档），并由甲方对服务工作进行审核确认。乙方提交的运维文档至少应包括下列文件（含文件扫描版）：</w:t>
      </w:r>
    </w:p>
    <w:p>
      <w:pPr>
        <w:pStyle w:val="20"/>
        <w:numPr>
          <w:ilvl w:val="0"/>
          <w:numId w:val="1"/>
        </w:numPr>
        <w:spacing w:line="360" w:lineRule="auto"/>
        <w:ind w:firstLineChars="0"/>
        <w:contextualSpacing/>
        <w:rPr>
          <w:rFonts w:ascii="仿宋" w:hAnsi="仿宋" w:eastAsia="仿宋" w:cs="宋体"/>
          <w:kern w:val="0"/>
          <w:sz w:val="24"/>
          <w:szCs w:val="24"/>
        </w:rPr>
      </w:pPr>
      <w:r>
        <w:rPr>
          <w:rFonts w:hint="eastAsia" w:ascii="仿宋" w:hAnsi="仿宋" w:eastAsia="仿宋" w:cs="宋体"/>
          <w:kern w:val="0"/>
          <w:sz w:val="24"/>
          <w:szCs w:val="24"/>
        </w:rPr>
        <w:t>开工申请；</w:t>
      </w:r>
    </w:p>
    <w:p>
      <w:pPr>
        <w:pStyle w:val="20"/>
        <w:numPr>
          <w:ilvl w:val="0"/>
          <w:numId w:val="1"/>
        </w:numPr>
        <w:spacing w:line="360" w:lineRule="auto"/>
        <w:ind w:firstLineChars="0"/>
        <w:contextualSpacing/>
        <w:rPr>
          <w:rFonts w:ascii="仿宋" w:hAnsi="仿宋" w:eastAsia="仿宋" w:cs="宋体"/>
          <w:kern w:val="0"/>
          <w:sz w:val="24"/>
          <w:szCs w:val="24"/>
        </w:rPr>
      </w:pPr>
      <w:r>
        <w:rPr>
          <w:rFonts w:hint="eastAsia" w:ascii="仿宋" w:hAnsi="仿宋" w:eastAsia="仿宋" w:cs="宋体"/>
          <w:kern w:val="0"/>
          <w:sz w:val="24"/>
          <w:szCs w:val="24"/>
        </w:rPr>
        <w:t>招投标文件；</w:t>
      </w:r>
    </w:p>
    <w:p>
      <w:pPr>
        <w:pStyle w:val="20"/>
        <w:numPr>
          <w:ilvl w:val="0"/>
          <w:numId w:val="1"/>
        </w:numPr>
        <w:spacing w:line="360" w:lineRule="auto"/>
        <w:ind w:firstLineChars="0"/>
        <w:contextualSpacing/>
        <w:rPr>
          <w:rFonts w:ascii="仿宋" w:hAnsi="仿宋" w:eastAsia="仿宋" w:cs="宋体"/>
          <w:kern w:val="0"/>
          <w:sz w:val="24"/>
          <w:szCs w:val="24"/>
        </w:rPr>
      </w:pPr>
      <w:r>
        <w:rPr>
          <w:rFonts w:hint="eastAsia" w:ascii="仿宋" w:hAnsi="仿宋" w:eastAsia="仿宋" w:cs="宋体"/>
          <w:kern w:val="0"/>
          <w:sz w:val="24"/>
          <w:szCs w:val="24"/>
        </w:rPr>
        <w:t>合同复印件；</w:t>
      </w:r>
    </w:p>
    <w:p>
      <w:pPr>
        <w:pStyle w:val="20"/>
        <w:numPr>
          <w:ilvl w:val="0"/>
          <w:numId w:val="1"/>
        </w:numPr>
        <w:spacing w:line="360" w:lineRule="auto"/>
        <w:ind w:firstLineChars="0"/>
        <w:contextualSpacing/>
        <w:rPr>
          <w:rFonts w:ascii="仿宋" w:hAnsi="仿宋" w:eastAsia="仿宋" w:cs="宋体"/>
          <w:kern w:val="0"/>
          <w:sz w:val="24"/>
          <w:szCs w:val="24"/>
        </w:rPr>
      </w:pPr>
      <w:r>
        <w:rPr>
          <w:rFonts w:hint="eastAsia" w:ascii="仿宋" w:hAnsi="仿宋" w:eastAsia="仿宋" w:cs="宋体"/>
          <w:kern w:val="0"/>
          <w:sz w:val="24"/>
          <w:szCs w:val="24"/>
        </w:rPr>
        <w:t>项目运维方案及系统故障应急方案；</w:t>
      </w:r>
    </w:p>
    <w:p>
      <w:pPr>
        <w:pStyle w:val="20"/>
        <w:numPr>
          <w:ilvl w:val="0"/>
          <w:numId w:val="1"/>
        </w:numPr>
        <w:spacing w:line="360" w:lineRule="auto"/>
        <w:ind w:firstLineChars="0"/>
        <w:contextualSpacing/>
        <w:rPr>
          <w:rFonts w:ascii="仿宋" w:hAnsi="仿宋" w:eastAsia="仿宋" w:cs="宋体"/>
          <w:kern w:val="0"/>
          <w:sz w:val="24"/>
          <w:szCs w:val="24"/>
        </w:rPr>
      </w:pPr>
      <w:r>
        <w:rPr>
          <w:rFonts w:hint="eastAsia" w:ascii="仿宋" w:hAnsi="仿宋" w:eastAsia="仿宋" w:cs="宋体"/>
          <w:kern w:val="0"/>
          <w:sz w:val="24"/>
          <w:szCs w:val="24"/>
        </w:rPr>
        <w:t>项目会议纪要；</w:t>
      </w:r>
    </w:p>
    <w:p>
      <w:pPr>
        <w:pStyle w:val="20"/>
        <w:numPr>
          <w:ilvl w:val="0"/>
          <w:numId w:val="1"/>
        </w:numPr>
        <w:spacing w:line="360" w:lineRule="auto"/>
        <w:ind w:firstLineChars="0"/>
        <w:contextualSpacing/>
        <w:rPr>
          <w:rFonts w:ascii="仿宋" w:hAnsi="仿宋" w:eastAsia="仿宋" w:cs="宋体"/>
          <w:kern w:val="0"/>
          <w:sz w:val="24"/>
          <w:szCs w:val="24"/>
        </w:rPr>
      </w:pPr>
      <w:r>
        <w:rPr>
          <w:rFonts w:hint="eastAsia" w:ascii="仿宋" w:hAnsi="仿宋" w:eastAsia="仿宋" w:cs="宋体"/>
          <w:kern w:val="0"/>
          <w:sz w:val="24"/>
          <w:szCs w:val="24"/>
        </w:rPr>
        <w:t>《巡检记录表》；</w:t>
      </w:r>
    </w:p>
    <w:p>
      <w:pPr>
        <w:pStyle w:val="20"/>
        <w:numPr>
          <w:ilvl w:val="0"/>
          <w:numId w:val="1"/>
        </w:numPr>
        <w:spacing w:line="360" w:lineRule="auto"/>
        <w:ind w:firstLineChars="0"/>
        <w:contextualSpacing/>
        <w:rPr>
          <w:rFonts w:ascii="仿宋" w:hAnsi="仿宋" w:eastAsia="仿宋" w:cs="宋体"/>
          <w:kern w:val="0"/>
          <w:sz w:val="24"/>
          <w:szCs w:val="24"/>
        </w:rPr>
      </w:pPr>
      <w:r>
        <w:rPr>
          <w:rFonts w:hint="eastAsia" w:ascii="仿宋" w:hAnsi="仿宋" w:eastAsia="仿宋" w:cs="宋体"/>
          <w:kern w:val="0"/>
          <w:sz w:val="24"/>
          <w:szCs w:val="24"/>
        </w:rPr>
        <w:t>《需求记录表》；</w:t>
      </w:r>
    </w:p>
    <w:p>
      <w:pPr>
        <w:pStyle w:val="20"/>
        <w:numPr>
          <w:ilvl w:val="0"/>
          <w:numId w:val="1"/>
        </w:numPr>
        <w:spacing w:line="360" w:lineRule="auto"/>
        <w:ind w:firstLineChars="0"/>
        <w:contextualSpacing/>
        <w:rPr>
          <w:rFonts w:ascii="仿宋" w:hAnsi="仿宋" w:eastAsia="仿宋" w:cs="宋体"/>
          <w:kern w:val="0"/>
          <w:sz w:val="24"/>
          <w:szCs w:val="24"/>
        </w:rPr>
      </w:pPr>
      <w:r>
        <w:rPr>
          <w:rFonts w:hint="eastAsia" w:ascii="仿宋" w:hAnsi="仿宋" w:eastAsia="仿宋" w:cs="宋体"/>
          <w:kern w:val="0"/>
          <w:sz w:val="24"/>
          <w:szCs w:val="24"/>
        </w:rPr>
        <w:t>《测试报告》；</w:t>
      </w:r>
    </w:p>
    <w:p>
      <w:pPr>
        <w:pStyle w:val="20"/>
        <w:numPr>
          <w:ilvl w:val="0"/>
          <w:numId w:val="1"/>
        </w:numPr>
        <w:spacing w:line="360" w:lineRule="auto"/>
        <w:ind w:firstLineChars="0"/>
        <w:contextualSpacing/>
        <w:rPr>
          <w:rFonts w:ascii="仿宋" w:hAnsi="仿宋" w:eastAsia="仿宋" w:cs="宋体"/>
          <w:kern w:val="0"/>
          <w:sz w:val="24"/>
          <w:szCs w:val="24"/>
        </w:rPr>
      </w:pPr>
      <w:r>
        <w:rPr>
          <w:rFonts w:hint="eastAsia" w:ascii="仿宋" w:hAnsi="仿宋" w:eastAsia="仿宋" w:cs="宋体"/>
          <w:kern w:val="0"/>
          <w:sz w:val="24"/>
          <w:szCs w:val="24"/>
        </w:rPr>
        <w:t>《培训记录》；</w:t>
      </w:r>
    </w:p>
    <w:p>
      <w:pPr>
        <w:pStyle w:val="20"/>
        <w:numPr>
          <w:ilvl w:val="0"/>
          <w:numId w:val="1"/>
        </w:numPr>
        <w:spacing w:line="360" w:lineRule="auto"/>
        <w:ind w:firstLineChars="0"/>
        <w:contextualSpacing/>
        <w:rPr>
          <w:rFonts w:ascii="仿宋" w:hAnsi="仿宋" w:eastAsia="仿宋" w:cs="宋体"/>
          <w:kern w:val="0"/>
          <w:sz w:val="24"/>
          <w:szCs w:val="24"/>
        </w:rPr>
      </w:pPr>
      <w:r>
        <w:rPr>
          <w:rFonts w:hint="eastAsia" w:ascii="仿宋" w:hAnsi="仿宋" w:eastAsia="仿宋" w:cs="宋体"/>
          <w:kern w:val="0"/>
          <w:sz w:val="24"/>
          <w:szCs w:val="24"/>
        </w:rPr>
        <w:t>《满意度调查表》；</w:t>
      </w:r>
    </w:p>
    <w:p>
      <w:pPr>
        <w:pStyle w:val="20"/>
        <w:numPr>
          <w:ilvl w:val="0"/>
          <w:numId w:val="1"/>
        </w:numPr>
        <w:spacing w:line="360" w:lineRule="auto"/>
        <w:ind w:firstLineChars="0"/>
        <w:contextualSpacing/>
        <w:rPr>
          <w:rFonts w:ascii="仿宋" w:hAnsi="仿宋" w:eastAsia="仿宋" w:cs="宋体"/>
          <w:kern w:val="0"/>
          <w:sz w:val="24"/>
          <w:szCs w:val="24"/>
        </w:rPr>
      </w:pPr>
      <w:r>
        <w:rPr>
          <w:rFonts w:hint="eastAsia" w:ascii="仿宋" w:hAnsi="仿宋" w:eastAsia="仿宋" w:cs="宋体"/>
          <w:kern w:val="0"/>
          <w:sz w:val="24"/>
          <w:szCs w:val="24"/>
        </w:rPr>
        <w:t>表清单及字段涵义、《数据库表结构及作业情况》（如本运维期有增删改则需提供）</w:t>
      </w:r>
      <w:r>
        <w:rPr>
          <w:rFonts w:ascii="仿宋" w:hAnsi="仿宋" w:eastAsia="仿宋" w:cs="宋体"/>
          <w:kern w:val="0"/>
          <w:sz w:val="24"/>
          <w:szCs w:val="24"/>
        </w:rPr>
        <w:t>；</w:t>
      </w:r>
    </w:p>
    <w:p>
      <w:pPr>
        <w:pStyle w:val="20"/>
        <w:numPr>
          <w:ilvl w:val="0"/>
          <w:numId w:val="1"/>
        </w:numPr>
        <w:spacing w:line="360" w:lineRule="auto"/>
        <w:ind w:firstLineChars="0"/>
        <w:contextualSpacing/>
        <w:rPr>
          <w:rFonts w:ascii="仿宋" w:hAnsi="仿宋" w:eastAsia="仿宋" w:cs="宋体"/>
          <w:kern w:val="0"/>
          <w:sz w:val="24"/>
          <w:szCs w:val="24"/>
        </w:rPr>
      </w:pPr>
      <w:r>
        <w:rPr>
          <w:rFonts w:hint="eastAsia" w:ascii="仿宋" w:hAnsi="仿宋" w:eastAsia="仿宋" w:cs="宋体"/>
          <w:kern w:val="0"/>
          <w:sz w:val="24"/>
          <w:szCs w:val="24"/>
        </w:rPr>
        <w:t>验收申请单；</w:t>
      </w:r>
    </w:p>
    <w:p>
      <w:pPr>
        <w:pStyle w:val="20"/>
        <w:numPr>
          <w:ilvl w:val="0"/>
          <w:numId w:val="1"/>
        </w:numPr>
        <w:spacing w:line="360" w:lineRule="auto"/>
        <w:ind w:firstLineChars="0"/>
        <w:contextualSpacing/>
        <w:rPr>
          <w:rFonts w:ascii="仿宋" w:hAnsi="仿宋" w:eastAsia="仿宋" w:cs="宋体"/>
          <w:kern w:val="0"/>
          <w:sz w:val="24"/>
          <w:szCs w:val="24"/>
        </w:rPr>
      </w:pPr>
      <w:r>
        <w:rPr>
          <w:rFonts w:hint="eastAsia" w:ascii="仿宋" w:hAnsi="仿宋" w:eastAsia="仿宋" w:cs="宋体"/>
          <w:kern w:val="0"/>
          <w:sz w:val="24"/>
          <w:szCs w:val="24"/>
        </w:rPr>
        <w:t>合同内容</w:t>
      </w:r>
      <w:r>
        <w:rPr>
          <w:rFonts w:ascii="仿宋" w:hAnsi="仿宋" w:eastAsia="仿宋" w:cs="宋体"/>
          <w:kern w:val="0"/>
          <w:sz w:val="24"/>
          <w:szCs w:val="24"/>
        </w:rPr>
        <w:t>完成情况确认书</w:t>
      </w:r>
      <w:r>
        <w:rPr>
          <w:rFonts w:hint="eastAsia" w:ascii="仿宋" w:hAnsi="仿宋" w:eastAsia="仿宋" w:cs="宋体"/>
          <w:kern w:val="0"/>
          <w:sz w:val="24"/>
          <w:szCs w:val="24"/>
        </w:rPr>
        <w:t>；</w:t>
      </w:r>
    </w:p>
    <w:p>
      <w:pPr>
        <w:pStyle w:val="20"/>
        <w:numPr>
          <w:ilvl w:val="0"/>
          <w:numId w:val="1"/>
        </w:numPr>
        <w:spacing w:line="360" w:lineRule="auto"/>
        <w:ind w:firstLineChars="0"/>
        <w:contextualSpacing/>
        <w:rPr>
          <w:rFonts w:ascii="仿宋" w:hAnsi="仿宋" w:eastAsia="仿宋" w:cs="宋体"/>
          <w:kern w:val="0"/>
          <w:sz w:val="24"/>
          <w:szCs w:val="24"/>
        </w:rPr>
      </w:pPr>
      <w:r>
        <w:rPr>
          <w:rFonts w:hint="eastAsia" w:ascii="仿宋" w:hAnsi="仿宋" w:eastAsia="仿宋" w:cs="宋体"/>
          <w:kern w:val="0"/>
          <w:sz w:val="24"/>
          <w:szCs w:val="24"/>
        </w:rPr>
        <w:t>《阶段性工作量完成清单确认书》；</w:t>
      </w:r>
    </w:p>
    <w:p>
      <w:pPr>
        <w:pStyle w:val="20"/>
        <w:numPr>
          <w:ilvl w:val="0"/>
          <w:numId w:val="1"/>
        </w:numPr>
        <w:spacing w:line="360" w:lineRule="auto"/>
        <w:ind w:firstLineChars="0"/>
        <w:contextualSpacing/>
        <w:rPr>
          <w:rFonts w:ascii="仿宋" w:hAnsi="仿宋" w:eastAsia="仿宋" w:cs="宋体"/>
          <w:kern w:val="0"/>
          <w:sz w:val="24"/>
          <w:szCs w:val="24"/>
        </w:rPr>
      </w:pPr>
      <w:r>
        <w:rPr>
          <w:rFonts w:hint="eastAsia" w:ascii="仿宋" w:hAnsi="仿宋" w:eastAsia="仿宋" w:cs="宋体"/>
          <w:kern w:val="0"/>
          <w:sz w:val="24"/>
          <w:szCs w:val="24"/>
        </w:rPr>
        <w:t>重大事件记录（如本运维期发生重大事件则需提供）；</w:t>
      </w:r>
    </w:p>
    <w:p>
      <w:pPr>
        <w:pStyle w:val="20"/>
        <w:numPr>
          <w:ilvl w:val="0"/>
          <w:numId w:val="1"/>
        </w:numPr>
        <w:spacing w:line="360" w:lineRule="auto"/>
        <w:ind w:firstLineChars="0"/>
        <w:contextualSpacing/>
        <w:rPr>
          <w:rFonts w:ascii="仿宋" w:hAnsi="仿宋" w:eastAsia="仿宋"/>
          <w:sz w:val="24"/>
          <w:szCs w:val="24"/>
        </w:rPr>
      </w:pPr>
      <w:r>
        <w:rPr>
          <w:rFonts w:hint="eastAsia" w:ascii="仿宋" w:hAnsi="仿宋" w:eastAsia="仿宋" w:cs="宋体"/>
          <w:kern w:val="0"/>
          <w:sz w:val="24"/>
          <w:szCs w:val="24"/>
        </w:rPr>
        <w:t>用户使用</w:t>
      </w:r>
      <w:r>
        <w:rPr>
          <w:rFonts w:ascii="仿宋" w:hAnsi="仿宋" w:eastAsia="仿宋" w:cs="宋体"/>
          <w:kern w:val="0"/>
          <w:sz w:val="24"/>
          <w:szCs w:val="24"/>
        </w:rPr>
        <w:t>意见</w:t>
      </w:r>
      <w:r>
        <w:rPr>
          <w:rFonts w:hint="eastAsia" w:ascii="仿宋" w:hAnsi="仿宋" w:eastAsia="仿宋" w:cs="宋体"/>
          <w:kern w:val="0"/>
          <w:sz w:val="24"/>
          <w:szCs w:val="24"/>
        </w:rPr>
        <w:t>。</w:t>
      </w:r>
    </w:p>
    <w:p>
      <w:pPr>
        <w:tabs>
          <w:tab w:val="left" w:pos="900"/>
        </w:tabs>
        <w:spacing w:line="360" w:lineRule="auto"/>
        <w:contextualSpacing/>
        <w:rPr>
          <w:rFonts w:ascii="仿宋" w:hAnsi="仿宋" w:eastAsia="仿宋"/>
          <w:b/>
          <w:sz w:val="24"/>
        </w:rPr>
      </w:pPr>
      <w:r>
        <w:rPr>
          <w:rFonts w:hint="eastAsia" w:ascii="仿宋" w:hAnsi="仿宋" w:eastAsia="仿宋"/>
          <w:b/>
          <w:sz w:val="24"/>
        </w:rPr>
        <w:t>六、采购标的的其他技术、服务等要求</w:t>
      </w:r>
    </w:p>
    <w:p>
      <w:pPr>
        <w:tabs>
          <w:tab w:val="left" w:pos="900"/>
        </w:tabs>
        <w:spacing w:line="360" w:lineRule="auto"/>
        <w:ind w:firstLine="480" w:firstLineChars="200"/>
        <w:contextualSpacing/>
        <w:rPr>
          <w:rFonts w:ascii="仿宋" w:hAnsi="仿宋" w:eastAsia="仿宋"/>
          <w:sz w:val="24"/>
        </w:rPr>
      </w:pPr>
      <w:r>
        <w:rPr>
          <w:rFonts w:hint="eastAsia" w:ascii="仿宋" w:hAnsi="仿宋" w:eastAsia="仿宋"/>
          <w:sz w:val="24"/>
        </w:rPr>
        <w:t>投标人需按照招标文件要求提供</w:t>
      </w:r>
      <w:r>
        <w:rPr>
          <w:rFonts w:hint="eastAsia" w:ascii="仿宋" w:hAnsi="仿宋" w:eastAsia="仿宋"/>
          <w:color w:val="FF0000"/>
          <w:sz w:val="24"/>
        </w:rPr>
        <w:t>项目需求理解分析、运维服务方案、驻场服务方案、</w:t>
      </w:r>
      <w:r>
        <w:rPr>
          <w:rFonts w:hint="eastAsia" w:ascii="仿宋" w:hAnsi="仿宋" w:eastAsia="仿宋" w:cs="宋体"/>
          <w:color w:val="FF0000"/>
          <w:kern w:val="0"/>
          <w:sz w:val="24"/>
          <w:szCs w:val="21"/>
        </w:rPr>
        <w:t>拟投入项目团队</w:t>
      </w:r>
      <w:r>
        <w:rPr>
          <w:rFonts w:hint="eastAsia" w:ascii="仿宋" w:hAnsi="仿宋" w:eastAsia="仿宋"/>
          <w:color w:val="FF0000"/>
          <w:sz w:val="24"/>
        </w:rPr>
        <w:t>、拟采取的应急事件处理预案和培训方案</w:t>
      </w:r>
      <w:r>
        <w:rPr>
          <w:rFonts w:hint="eastAsia" w:ascii="仿宋" w:hAnsi="仿宋" w:eastAsia="仿宋"/>
          <w:sz w:val="24"/>
        </w:rPr>
        <w:t>等。</w:t>
      </w:r>
    </w:p>
    <w:p>
      <w:pPr>
        <w:tabs>
          <w:tab w:val="left" w:pos="900"/>
        </w:tabs>
        <w:spacing w:line="360" w:lineRule="auto"/>
        <w:contextualSpacing/>
        <w:rPr>
          <w:rFonts w:ascii="仿宋" w:hAnsi="仿宋" w:eastAsia="仿宋"/>
          <w:b/>
          <w:sz w:val="24"/>
        </w:rPr>
      </w:pPr>
      <w:bookmarkStart w:id="0" w:name="OLE_LINK11"/>
      <w:r>
        <w:rPr>
          <w:rFonts w:hint="eastAsia" w:ascii="仿宋" w:hAnsi="仿宋" w:eastAsia="仿宋"/>
          <w:b/>
          <w:sz w:val="24"/>
        </w:rPr>
        <w:t>七、采购标的需满足的质量、安全、技术规格、物理特性等要求</w:t>
      </w:r>
      <w:bookmarkEnd w:id="0"/>
      <w:r>
        <w:rPr>
          <w:rFonts w:hint="eastAsia" w:ascii="仿宋" w:hAnsi="仿宋" w:eastAsia="仿宋"/>
          <w:b/>
          <w:sz w:val="24"/>
        </w:rPr>
        <w:t>：</w:t>
      </w:r>
    </w:p>
    <w:p>
      <w:pPr>
        <w:tabs>
          <w:tab w:val="left" w:pos="900"/>
        </w:tabs>
        <w:spacing w:line="360" w:lineRule="auto"/>
        <w:contextualSpacing/>
        <w:jc w:val="center"/>
        <w:rPr>
          <w:rFonts w:ascii="宋体" w:hAnsi="宋体"/>
          <w:szCs w:val="21"/>
        </w:rPr>
        <w:sectPr>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pPr>
      <w:r>
        <w:rPr>
          <w:rFonts w:ascii="宋体" w:hAnsi="宋体"/>
          <w:szCs w:val="21"/>
        </w:rPr>
        <w:br w:type="page"/>
      </w:r>
    </w:p>
    <w:p>
      <w:pPr>
        <w:tabs>
          <w:tab w:val="left" w:pos="900"/>
        </w:tabs>
        <w:spacing w:line="360" w:lineRule="auto"/>
        <w:contextualSpacing/>
        <w:jc w:val="center"/>
        <w:rPr>
          <w:rFonts w:ascii="仿宋" w:hAnsi="仿宋" w:eastAsia="仿宋"/>
          <w:b/>
          <w:sz w:val="24"/>
        </w:rPr>
      </w:pPr>
      <w:r>
        <w:rPr>
          <w:rFonts w:ascii="仿宋" w:hAnsi="仿宋" w:eastAsia="仿宋"/>
          <w:b/>
          <w:sz w:val="24"/>
        </w:rPr>
        <w:t>第</w:t>
      </w:r>
      <w:r>
        <w:rPr>
          <w:rFonts w:hint="eastAsia" w:ascii="仿宋" w:hAnsi="仿宋" w:eastAsia="仿宋"/>
          <w:b/>
          <w:sz w:val="24"/>
        </w:rPr>
        <w:t>1</w:t>
      </w:r>
      <w:r>
        <w:rPr>
          <w:rFonts w:ascii="仿宋" w:hAnsi="仿宋" w:eastAsia="仿宋"/>
          <w:b/>
          <w:sz w:val="24"/>
        </w:rPr>
        <w:t>包</w:t>
      </w:r>
      <w:r>
        <w:rPr>
          <w:rFonts w:hint="eastAsia" w:ascii="仿宋" w:hAnsi="仿宋" w:eastAsia="仿宋"/>
          <w:b/>
          <w:sz w:val="24"/>
        </w:rPr>
        <w:t xml:space="preserve"> HIS系统运维服务项目</w:t>
      </w:r>
    </w:p>
    <w:p>
      <w:pPr>
        <w:tabs>
          <w:tab w:val="left" w:pos="900"/>
        </w:tabs>
        <w:spacing w:before="120" w:beforeLines="50" w:line="360" w:lineRule="auto"/>
        <w:rPr>
          <w:rFonts w:ascii="仿宋" w:hAnsi="仿宋" w:eastAsia="仿宋"/>
          <w:b/>
          <w:sz w:val="24"/>
        </w:rPr>
      </w:pPr>
      <w:r>
        <w:rPr>
          <w:rFonts w:ascii="仿宋" w:hAnsi="仿宋" w:eastAsia="仿宋"/>
          <w:b/>
          <w:sz w:val="24"/>
        </w:rPr>
        <w:t>一</w:t>
      </w:r>
      <w:r>
        <w:rPr>
          <w:rFonts w:hint="eastAsia" w:ascii="仿宋" w:hAnsi="仿宋" w:eastAsia="仿宋"/>
          <w:b/>
          <w:sz w:val="24"/>
        </w:rPr>
        <w:t>、</w:t>
      </w:r>
      <w:r>
        <w:rPr>
          <w:rFonts w:ascii="仿宋" w:hAnsi="仿宋" w:eastAsia="仿宋"/>
          <w:b/>
          <w:sz w:val="24"/>
        </w:rPr>
        <w:t>技术要求</w:t>
      </w:r>
    </w:p>
    <w:p>
      <w:pPr>
        <w:pStyle w:val="20"/>
        <w:spacing w:line="360" w:lineRule="auto"/>
        <w:ind w:firstLine="0" w:firstLineChars="0"/>
        <w:rPr>
          <w:rFonts w:ascii="仿宋" w:hAnsi="仿宋" w:eastAsia="仿宋"/>
          <w:b/>
          <w:sz w:val="24"/>
          <w:szCs w:val="24"/>
        </w:rPr>
      </w:pPr>
      <w:r>
        <w:rPr>
          <w:rFonts w:hint="eastAsia" w:ascii="仿宋" w:hAnsi="仿宋" w:eastAsia="仿宋"/>
          <w:b/>
          <w:sz w:val="24"/>
          <w:szCs w:val="24"/>
        </w:rPr>
        <w:t>1、业务范围（涉及科室范围）</w:t>
      </w:r>
    </w:p>
    <w:p>
      <w:pPr>
        <w:spacing w:line="360" w:lineRule="auto"/>
        <w:ind w:firstLine="480" w:firstLineChars="200"/>
        <w:rPr>
          <w:rFonts w:ascii="仿宋" w:hAnsi="仿宋" w:eastAsia="仿宋" w:cs="宋体"/>
          <w:kern w:val="0"/>
          <w:sz w:val="24"/>
        </w:rPr>
      </w:pPr>
      <w:r>
        <w:rPr>
          <w:rFonts w:hint="eastAsia" w:ascii="仿宋" w:hAnsi="仿宋" w:eastAsia="仿宋" w:cs="宋体"/>
          <w:kern w:val="0"/>
          <w:sz w:val="24"/>
        </w:rPr>
        <w:t>涉及全院</w:t>
      </w:r>
    </w:p>
    <w:p>
      <w:pPr>
        <w:pStyle w:val="20"/>
        <w:spacing w:line="360" w:lineRule="auto"/>
        <w:ind w:firstLine="0" w:firstLineChars="0"/>
        <w:rPr>
          <w:rFonts w:ascii="仿宋" w:hAnsi="仿宋" w:eastAsia="仿宋"/>
          <w:b/>
          <w:sz w:val="24"/>
          <w:szCs w:val="24"/>
        </w:rPr>
      </w:pPr>
      <w:r>
        <w:rPr>
          <w:rFonts w:hint="eastAsia" w:ascii="仿宋" w:hAnsi="仿宋" w:eastAsia="仿宋"/>
          <w:b/>
          <w:sz w:val="24"/>
          <w:szCs w:val="24"/>
        </w:rPr>
        <w:t>2、工期要求</w:t>
      </w:r>
    </w:p>
    <w:p>
      <w:pPr>
        <w:spacing w:line="360" w:lineRule="auto"/>
        <w:ind w:firstLine="480" w:firstLineChars="200"/>
        <w:rPr>
          <w:rFonts w:ascii="仿宋" w:hAnsi="仿宋" w:eastAsia="仿宋"/>
          <w:sz w:val="24"/>
        </w:rPr>
      </w:pPr>
      <w:r>
        <w:rPr>
          <w:rFonts w:hint="eastAsia" w:ascii="仿宋" w:hAnsi="仿宋" w:eastAsia="仿宋"/>
          <w:sz w:val="24"/>
        </w:rPr>
        <w:t>1年</w:t>
      </w:r>
    </w:p>
    <w:p>
      <w:pPr>
        <w:pStyle w:val="20"/>
        <w:spacing w:line="360" w:lineRule="auto"/>
        <w:ind w:firstLine="0" w:firstLineChars="0"/>
        <w:rPr>
          <w:rFonts w:ascii="仿宋" w:hAnsi="仿宋" w:eastAsia="仿宋"/>
          <w:b/>
          <w:sz w:val="24"/>
          <w:szCs w:val="24"/>
        </w:rPr>
      </w:pPr>
      <w:r>
        <w:rPr>
          <w:rFonts w:ascii="仿宋" w:hAnsi="仿宋" w:eastAsia="仿宋"/>
          <w:b/>
          <w:sz w:val="24"/>
          <w:szCs w:val="24"/>
        </w:rPr>
        <w:t>3</w:t>
      </w:r>
      <w:r>
        <w:rPr>
          <w:rFonts w:hint="eastAsia" w:ascii="仿宋" w:hAnsi="仿宋" w:eastAsia="仿宋"/>
          <w:b/>
          <w:sz w:val="24"/>
          <w:szCs w:val="24"/>
        </w:rPr>
        <w:t>、项目内容及对象</w:t>
      </w:r>
    </w:p>
    <w:p>
      <w:pPr>
        <w:autoSpaceDE w:val="0"/>
        <w:autoSpaceDN w:val="0"/>
        <w:spacing w:line="360" w:lineRule="auto"/>
        <w:ind w:firstLine="480" w:firstLineChars="200"/>
        <w:jc w:val="left"/>
        <w:rPr>
          <w:rFonts w:ascii="仿宋" w:hAnsi="仿宋" w:eastAsia="仿宋" w:cs="宋体"/>
          <w:kern w:val="0"/>
          <w:sz w:val="24"/>
        </w:rPr>
      </w:pPr>
      <w:r>
        <w:rPr>
          <w:rFonts w:hint="eastAsia" w:ascii="仿宋" w:hAnsi="仿宋" w:eastAsia="仿宋" w:cs="宋体"/>
          <w:kern w:val="0"/>
          <w:sz w:val="24"/>
        </w:rPr>
        <w:t>新需求及BUG修改，定期现场巡检，7*24小时技术与支持、程序和接口改造等，保障HIS系统平稳运行。</w:t>
      </w:r>
    </w:p>
    <w:p>
      <w:pPr>
        <w:autoSpaceDE w:val="0"/>
        <w:autoSpaceDN w:val="0"/>
        <w:spacing w:line="360" w:lineRule="auto"/>
        <w:ind w:firstLine="480" w:firstLineChars="200"/>
        <w:jc w:val="left"/>
        <w:rPr>
          <w:rFonts w:ascii="仿宋" w:hAnsi="仿宋" w:eastAsia="仿宋" w:cs="宋体"/>
          <w:kern w:val="0"/>
          <w:sz w:val="24"/>
        </w:rPr>
      </w:pPr>
      <w:r>
        <w:rPr>
          <w:rFonts w:hint="eastAsia" w:ascii="仿宋" w:hAnsi="仿宋" w:eastAsia="仿宋" w:cs="宋体"/>
          <w:kern w:val="0"/>
          <w:sz w:val="24"/>
        </w:rPr>
        <w:t>HIS系统提供4名驻场人员(其中2名实施工程师及2名研发工程师)。</w:t>
      </w:r>
    </w:p>
    <w:p>
      <w:pPr>
        <w:autoSpaceDE w:val="0"/>
        <w:autoSpaceDN w:val="0"/>
        <w:spacing w:line="360" w:lineRule="auto"/>
        <w:jc w:val="left"/>
        <w:rPr>
          <w:rFonts w:ascii="仿宋" w:hAnsi="仿宋" w:eastAsia="仿宋" w:cs="宋体"/>
          <w:b/>
          <w:kern w:val="0"/>
          <w:sz w:val="24"/>
        </w:rPr>
      </w:pPr>
      <w:r>
        <w:rPr>
          <w:rFonts w:hint="eastAsia" w:ascii="仿宋" w:hAnsi="仿宋" w:eastAsia="仿宋" w:cs="宋体"/>
          <w:b/>
          <w:kern w:val="0"/>
          <w:sz w:val="24"/>
        </w:rPr>
        <w:t>4、服务内容</w:t>
      </w:r>
    </w:p>
    <w:p>
      <w:pPr>
        <w:autoSpaceDE w:val="0"/>
        <w:autoSpaceDN w:val="0"/>
        <w:spacing w:line="360" w:lineRule="auto"/>
        <w:ind w:firstLine="480" w:firstLineChars="200"/>
        <w:jc w:val="left"/>
        <w:rPr>
          <w:rFonts w:ascii="仿宋" w:hAnsi="仿宋" w:eastAsia="仿宋" w:cs="宋体"/>
          <w:kern w:val="0"/>
          <w:sz w:val="24"/>
        </w:rPr>
      </w:pPr>
      <w:r>
        <w:rPr>
          <w:rFonts w:hint="eastAsia" w:ascii="仿宋" w:hAnsi="仿宋" w:eastAsia="仿宋" w:cs="宋体"/>
          <w:kern w:val="0"/>
          <w:sz w:val="24"/>
        </w:rPr>
        <w:t>投标人应提供符合招标文件条件、要求和原则、目标及标准的下述合格服务：</w:t>
      </w:r>
    </w:p>
    <w:p>
      <w:pPr>
        <w:spacing w:line="360" w:lineRule="auto"/>
        <w:rPr>
          <w:rFonts w:ascii="仿宋" w:hAnsi="仿宋" w:eastAsia="仿宋" w:cs="宋体"/>
          <w:b/>
          <w:kern w:val="0"/>
          <w:sz w:val="24"/>
        </w:rPr>
      </w:pPr>
      <w:r>
        <w:rPr>
          <w:rFonts w:hint="eastAsia" w:ascii="仿宋" w:hAnsi="仿宋" w:eastAsia="仿宋" w:cs="宋体"/>
          <w:b/>
          <w:kern w:val="0"/>
          <w:sz w:val="24"/>
        </w:rPr>
        <w:t>4.1.软件技术保障服务</w:t>
      </w:r>
    </w:p>
    <w:p>
      <w:pPr>
        <w:spacing w:line="360" w:lineRule="auto"/>
        <w:rPr>
          <w:rFonts w:ascii="仿宋" w:hAnsi="仿宋" w:eastAsia="仿宋" w:cs="宋体"/>
          <w:kern w:val="0"/>
          <w:sz w:val="24"/>
        </w:rPr>
      </w:pPr>
      <w:r>
        <w:rPr>
          <w:rFonts w:hint="eastAsia" w:ascii="仿宋" w:hAnsi="仿宋" w:eastAsia="仿宋" w:cs="宋体"/>
          <w:kern w:val="0"/>
          <w:sz w:val="24"/>
        </w:rPr>
        <w:t>（1）系统完善及故障处理：</w:t>
      </w:r>
    </w:p>
    <w:p>
      <w:pPr>
        <w:spacing w:line="360" w:lineRule="auto"/>
        <w:rPr>
          <w:rFonts w:ascii="仿宋" w:hAnsi="仿宋" w:eastAsia="仿宋" w:cs="宋体"/>
          <w:kern w:val="0"/>
          <w:sz w:val="24"/>
        </w:rPr>
      </w:pPr>
      <w:r>
        <w:rPr>
          <w:rFonts w:hint="eastAsia" w:ascii="仿宋" w:hAnsi="仿宋" w:eastAsia="仿宋" w:cs="宋体"/>
          <w:kern w:val="0"/>
          <w:sz w:val="24"/>
        </w:rPr>
        <w:t>①系统已应用模块范围内的功能完善和版本优化等工作；投标人应对系统中因程序编辑、设计的不合理、BUG或效率性不足而造成的功能缺失、不合理、不便利、未达保证值或未达合理效率等问题，进行系统已应用模块范围内功能完善，应按照合同中要求的标准和期限提供服务，包括对系统已应用模块范围内功能进行弥补、补充、调整、变更、更新、优化等。</w:t>
      </w:r>
    </w:p>
    <w:p>
      <w:pPr>
        <w:spacing w:line="360" w:lineRule="auto"/>
        <w:rPr>
          <w:rFonts w:ascii="仿宋" w:hAnsi="仿宋" w:eastAsia="仿宋" w:cs="宋体"/>
          <w:kern w:val="0"/>
          <w:sz w:val="24"/>
        </w:rPr>
      </w:pPr>
      <w:r>
        <w:rPr>
          <w:rFonts w:hint="eastAsia" w:ascii="仿宋" w:hAnsi="仿宋" w:eastAsia="仿宋" w:cs="宋体"/>
          <w:kern w:val="0"/>
          <w:sz w:val="24"/>
        </w:rPr>
        <w:t>②排除系统运行中发生的故障、修复软件BUG、维护系统日志、对涉及的软件、系统实施运行维护、解决软件使用过程中的问题；</w:t>
      </w:r>
    </w:p>
    <w:p>
      <w:pPr>
        <w:spacing w:line="360" w:lineRule="auto"/>
        <w:rPr>
          <w:rFonts w:ascii="仿宋" w:hAnsi="仿宋" w:eastAsia="仿宋" w:cs="宋体"/>
          <w:kern w:val="0"/>
          <w:sz w:val="24"/>
        </w:rPr>
      </w:pPr>
      <w:r>
        <w:rPr>
          <w:rFonts w:hint="eastAsia" w:ascii="仿宋" w:hAnsi="仿宋" w:eastAsia="仿宋" w:cs="宋体"/>
          <w:kern w:val="0"/>
          <w:sz w:val="24"/>
        </w:rPr>
        <w:t>③投标人应通过电话技术支持、现场技术支持、电子邮件等方式开展运维服务工作，保证采购人工作时间内7*24小时的客户服务热线支持，并在运维工作开展过程中，对系统功能完善情况、技术支持内容及日常运维工作内容及结果进行记录，存档备查。</w:t>
      </w:r>
    </w:p>
    <w:p>
      <w:pPr>
        <w:spacing w:line="360" w:lineRule="auto"/>
        <w:rPr>
          <w:rFonts w:ascii="仿宋" w:hAnsi="仿宋" w:eastAsia="仿宋" w:cs="宋体"/>
          <w:kern w:val="0"/>
          <w:sz w:val="24"/>
        </w:rPr>
      </w:pPr>
      <w:r>
        <w:rPr>
          <w:rFonts w:hint="eastAsia" w:ascii="仿宋" w:hAnsi="仿宋" w:eastAsia="仿宋" w:cs="宋体"/>
          <w:kern w:val="0"/>
          <w:sz w:val="24"/>
        </w:rPr>
        <w:t>④当投标人受理采购人技术支持需求后，应进行问题记录，根据问题情况判断采用现场还是电话技术支持方式。</w:t>
      </w:r>
    </w:p>
    <w:p>
      <w:pPr>
        <w:spacing w:line="360" w:lineRule="auto"/>
        <w:rPr>
          <w:rFonts w:ascii="仿宋" w:hAnsi="仿宋" w:eastAsia="仿宋" w:cs="宋体"/>
          <w:kern w:val="0"/>
          <w:sz w:val="24"/>
        </w:rPr>
      </w:pPr>
      <w:r>
        <w:rPr>
          <w:rFonts w:hint="eastAsia" w:ascii="仿宋" w:hAnsi="仿宋" w:eastAsia="仿宋" w:cs="宋体"/>
          <w:kern w:val="0"/>
          <w:sz w:val="24"/>
        </w:rPr>
        <w:t>⑤电话技术支持在30分钟内未解决问题或系统出现故障导致业务流程中断的，投标人应派技术人员2小时内到达现场解决问题，非工作时间到场时限为4小时内。问题解决后，填写技术支持记录单。</w:t>
      </w:r>
    </w:p>
    <w:p>
      <w:pPr>
        <w:spacing w:line="360" w:lineRule="auto"/>
        <w:rPr>
          <w:rFonts w:ascii="仿宋" w:hAnsi="仿宋" w:eastAsia="仿宋" w:cs="宋体"/>
          <w:kern w:val="0"/>
          <w:sz w:val="24"/>
        </w:rPr>
      </w:pPr>
      <w:r>
        <w:rPr>
          <w:rFonts w:hint="eastAsia" w:ascii="仿宋" w:hAnsi="仿宋" w:eastAsia="仿宋" w:cs="宋体"/>
          <w:kern w:val="0"/>
          <w:sz w:val="24"/>
        </w:rPr>
        <w:t>⑥采购人认为需对系统进行功能完善或系统出现BUG的，应由采购人整理《系统功能完善需求及确认单》，对完善需求进行描述并提交投标人。投标人接到《系统功能完善需求及确认单》投标人进行评估后，需在3日内和采购人共同确认，提出需求的解决方案及完成时间，需经采购人确认同意。</w:t>
      </w:r>
    </w:p>
    <w:p>
      <w:pPr>
        <w:spacing w:line="360" w:lineRule="auto"/>
        <w:rPr>
          <w:rFonts w:ascii="仿宋" w:hAnsi="仿宋" w:eastAsia="仿宋" w:cs="宋体"/>
          <w:kern w:val="0"/>
          <w:sz w:val="24"/>
        </w:rPr>
      </w:pPr>
      <w:r>
        <w:rPr>
          <w:rFonts w:hint="eastAsia" w:ascii="仿宋" w:hAnsi="仿宋" w:eastAsia="仿宋" w:cs="宋体"/>
          <w:kern w:val="0"/>
          <w:sz w:val="24"/>
        </w:rPr>
        <w:t>（2）纠纷处理：因投标人造成的系统BUG导致采购人产生纠纷，且形成采购人实质赔偿的，其赔偿金额由投标人全部承担，优先从合同未结款项中扣除。</w:t>
      </w:r>
    </w:p>
    <w:p>
      <w:pPr>
        <w:spacing w:line="360" w:lineRule="auto"/>
        <w:rPr>
          <w:rFonts w:ascii="仿宋" w:hAnsi="仿宋" w:eastAsia="仿宋" w:cs="宋体"/>
          <w:kern w:val="0"/>
          <w:sz w:val="24"/>
        </w:rPr>
      </w:pPr>
      <w:r>
        <w:rPr>
          <w:rFonts w:hint="eastAsia" w:ascii="仿宋" w:hAnsi="仿宋" w:eastAsia="仿宋" w:cs="宋体"/>
          <w:kern w:val="0"/>
          <w:sz w:val="24"/>
        </w:rPr>
        <w:t>（3）系统巡检：按月进行系统及相关硬件巡检工作，及时发现问题、解决问题，确保设备及系统软件良好运行；定期清理垃圾数据，以充分保证系统运行的快捷和稳定；定期进行数据迁移工作，保证系统的稳定；提供数据备份服务及其他备份技术。每次巡检结束后，投标人向采购人提交巡检报告。</w:t>
      </w:r>
    </w:p>
    <w:p>
      <w:pPr>
        <w:spacing w:line="360" w:lineRule="auto"/>
        <w:rPr>
          <w:rFonts w:ascii="仿宋" w:hAnsi="仿宋" w:eastAsia="仿宋" w:cs="宋体"/>
          <w:kern w:val="0"/>
          <w:sz w:val="24"/>
        </w:rPr>
      </w:pPr>
      <w:r>
        <w:rPr>
          <w:rFonts w:hint="eastAsia" w:ascii="仿宋" w:hAnsi="仿宋" w:eastAsia="仿宋" w:cs="宋体"/>
          <w:kern w:val="0"/>
          <w:sz w:val="24"/>
        </w:rPr>
        <w:t>（4）字典及接口调整：因本系统完善、采购人内部管理结构、业务流程及其他信息系统调整导致的相关数据字典或已有数据接口的调整和维护，投标人应提供现场技术支持。</w:t>
      </w:r>
    </w:p>
    <w:p>
      <w:pPr>
        <w:spacing w:line="360" w:lineRule="auto"/>
        <w:rPr>
          <w:rFonts w:ascii="仿宋" w:hAnsi="仿宋" w:eastAsia="仿宋" w:cs="宋体"/>
          <w:kern w:val="0"/>
          <w:sz w:val="24"/>
        </w:rPr>
      </w:pPr>
      <w:r>
        <w:rPr>
          <w:rFonts w:hint="eastAsia" w:ascii="仿宋" w:hAnsi="仿宋" w:eastAsia="仿宋" w:cs="宋体"/>
          <w:kern w:val="0"/>
          <w:sz w:val="24"/>
        </w:rPr>
        <w:t>（5）节假日及政策性任务保障服务：采购人因节假日或执行上级政策性任务等特殊时期，投标人工程师应服从采购人统一作息时间安排，必要时投标人应增派人员协助完成任务，投标人按照要求的工期节点，按时完成相关工作，如遇重大改造涉及费用，双方进行协商。包括但不限于的工作如下：</w:t>
      </w:r>
    </w:p>
    <w:p>
      <w:pPr>
        <w:spacing w:line="360" w:lineRule="auto"/>
        <w:rPr>
          <w:rFonts w:ascii="仿宋" w:hAnsi="仿宋" w:eastAsia="仿宋" w:cs="宋体"/>
          <w:kern w:val="0"/>
          <w:sz w:val="24"/>
        </w:rPr>
      </w:pPr>
      <w:bookmarkStart w:id="1" w:name="OLE_LINK108"/>
      <w:bookmarkStart w:id="2" w:name="OLE_LINK109"/>
      <w:r>
        <w:rPr>
          <w:rFonts w:hint="eastAsia" w:ascii="仿宋" w:hAnsi="仿宋" w:eastAsia="仿宋" w:cs="宋体"/>
          <w:kern w:val="0"/>
          <w:sz w:val="24"/>
        </w:rPr>
        <w:t>①</w:t>
      </w:r>
      <w:bookmarkEnd w:id="1"/>
      <w:bookmarkEnd w:id="2"/>
      <w:r>
        <w:rPr>
          <w:rFonts w:hint="eastAsia" w:ascii="仿宋" w:hAnsi="仿宋" w:eastAsia="仿宋" w:cs="宋体"/>
          <w:kern w:val="0"/>
          <w:sz w:val="24"/>
        </w:rPr>
        <w:t>医疗服务价格调整工作：按照要求完成程序改造、字典维护、测试环境搭建与流程测试、切换当日现场保障，以及切换完成后系统运行保障。</w:t>
      </w:r>
    </w:p>
    <w:p>
      <w:pPr>
        <w:spacing w:line="360" w:lineRule="auto"/>
        <w:rPr>
          <w:rFonts w:ascii="仿宋" w:hAnsi="仿宋" w:eastAsia="仿宋" w:cs="宋体"/>
          <w:kern w:val="0"/>
          <w:sz w:val="24"/>
        </w:rPr>
      </w:pPr>
      <w:r>
        <w:rPr>
          <w:rFonts w:hint="eastAsia" w:ascii="仿宋" w:hAnsi="仿宋" w:eastAsia="仿宋" w:cs="宋体"/>
          <w:kern w:val="0"/>
          <w:sz w:val="24"/>
        </w:rPr>
        <w:t>②互联互通、电子病历及智慧服务测评工作：完成互联互通、电子病历及智慧服务测评保障工作。</w:t>
      </w:r>
    </w:p>
    <w:p>
      <w:pPr>
        <w:spacing w:line="360" w:lineRule="auto"/>
        <w:rPr>
          <w:rFonts w:ascii="仿宋" w:hAnsi="仿宋" w:eastAsia="仿宋" w:cs="宋体"/>
          <w:kern w:val="0"/>
          <w:sz w:val="24"/>
        </w:rPr>
      </w:pPr>
      <w:r>
        <w:rPr>
          <w:rFonts w:hint="eastAsia" w:ascii="仿宋" w:hAnsi="仿宋" w:eastAsia="仿宋" w:cs="宋体"/>
          <w:kern w:val="0"/>
          <w:sz w:val="24"/>
        </w:rPr>
        <w:t>③改善医疗服务工作：完成信息系统保障工作。</w:t>
      </w:r>
    </w:p>
    <w:p>
      <w:pPr>
        <w:spacing w:line="360" w:lineRule="auto"/>
        <w:rPr>
          <w:rFonts w:ascii="仿宋" w:hAnsi="仿宋" w:eastAsia="仿宋" w:cs="宋体"/>
          <w:kern w:val="0"/>
          <w:sz w:val="24"/>
        </w:rPr>
      </w:pPr>
      <w:r>
        <w:rPr>
          <w:rFonts w:hint="eastAsia" w:ascii="仿宋" w:hAnsi="仿宋" w:eastAsia="仿宋" w:cs="宋体"/>
          <w:kern w:val="0"/>
          <w:sz w:val="24"/>
        </w:rPr>
        <w:t>④配合医院进行网络安全等级保护测评相关工作。</w:t>
      </w:r>
    </w:p>
    <w:p>
      <w:pPr>
        <w:spacing w:line="360" w:lineRule="auto"/>
        <w:rPr>
          <w:rFonts w:ascii="仿宋" w:hAnsi="仿宋" w:eastAsia="仿宋" w:cs="宋体"/>
          <w:kern w:val="0"/>
          <w:sz w:val="24"/>
        </w:rPr>
      </w:pPr>
      <w:r>
        <w:rPr>
          <w:rFonts w:hint="eastAsia" w:ascii="仿宋" w:hAnsi="仿宋" w:eastAsia="仿宋" w:cs="宋体"/>
          <w:kern w:val="0"/>
          <w:sz w:val="24"/>
        </w:rPr>
        <w:t>⑤其他政策性任务涉及的程序和接口改造工作。</w:t>
      </w:r>
    </w:p>
    <w:p>
      <w:pPr>
        <w:spacing w:line="360" w:lineRule="auto"/>
        <w:rPr>
          <w:rFonts w:ascii="仿宋" w:hAnsi="仿宋" w:eastAsia="仿宋" w:cs="宋体"/>
          <w:kern w:val="0"/>
          <w:sz w:val="24"/>
        </w:rPr>
      </w:pPr>
      <w:r>
        <w:rPr>
          <w:rFonts w:hint="eastAsia" w:ascii="仿宋" w:hAnsi="仿宋" w:eastAsia="仿宋" w:cs="宋体"/>
          <w:kern w:val="0"/>
          <w:sz w:val="24"/>
        </w:rPr>
        <w:t>（6）系统联调：按照采购人要求配合完成系统联调工作。</w:t>
      </w:r>
    </w:p>
    <w:p>
      <w:pPr>
        <w:spacing w:line="360" w:lineRule="auto"/>
        <w:rPr>
          <w:rFonts w:ascii="仿宋" w:hAnsi="仿宋" w:eastAsia="仿宋" w:cs="宋体"/>
          <w:kern w:val="0"/>
          <w:sz w:val="24"/>
        </w:rPr>
      </w:pPr>
      <w:r>
        <w:rPr>
          <w:rFonts w:hint="eastAsia" w:ascii="仿宋" w:hAnsi="仿宋" w:eastAsia="仿宋" w:cs="宋体"/>
          <w:kern w:val="0"/>
          <w:sz w:val="24"/>
        </w:rPr>
        <w:t>（7）资料提供：提供软件最新版本的数据库表清单及字段涵义，提供与涉及软件有关的新的和/或改进的运行经验、业务培训和安全方面的资料及信息。</w:t>
      </w:r>
    </w:p>
    <w:p>
      <w:pPr>
        <w:spacing w:line="360" w:lineRule="auto"/>
        <w:rPr>
          <w:rFonts w:ascii="仿宋" w:hAnsi="仿宋" w:eastAsia="仿宋" w:cs="宋体"/>
          <w:kern w:val="0"/>
          <w:sz w:val="24"/>
        </w:rPr>
      </w:pPr>
      <w:r>
        <w:rPr>
          <w:rFonts w:hint="eastAsia" w:ascii="仿宋" w:hAnsi="仿宋" w:eastAsia="仿宋" w:cs="宋体"/>
          <w:kern w:val="0"/>
          <w:sz w:val="24"/>
        </w:rPr>
        <w:t>（8）质量保障：投标人应接受采购人对本合同内容具体落实情况及投标人在采购人运行维护中的服务质量和进展情况的监督、检查。</w:t>
      </w:r>
    </w:p>
    <w:p>
      <w:pPr>
        <w:spacing w:line="360" w:lineRule="auto"/>
        <w:rPr>
          <w:rFonts w:ascii="仿宋" w:hAnsi="仿宋" w:eastAsia="仿宋" w:cs="宋体"/>
          <w:kern w:val="0"/>
          <w:sz w:val="24"/>
        </w:rPr>
      </w:pPr>
      <w:r>
        <w:rPr>
          <w:rFonts w:hint="eastAsia" w:ascii="仿宋" w:hAnsi="仿宋" w:eastAsia="仿宋" w:cs="宋体"/>
          <w:kern w:val="0"/>
          <w:sz w:val="24"/>
        </w:rPr>
        <w:t>（9）数据咨询：本项目包含数据咨询服务</w:t>
      </w:r>
    </w:p>
    <w:p>
      <w:pPr>
        <w:spacing w:line="360" w:lineRule="auto"/>
        <w:rPr>
          <w:rFonts w:ascii="仿宋" w:hAnsi="仿宋" w:eastAsia="仿宋" w:cs="宋体"/>
          <w:kern w:val="0"/>
          <w:sz w:val="24"/>
        </w:rPr>
      </w:pPr>
      <w:r>
        <w:rPr>
          <w:rFonts w:hint="eastAsia" w:ascii="仿宋" w:hAnsi="仿宋" w:eastAsia="仿宋" w:cs="宋体"/>
          <w:kern w:val="0"/>
          <w:sz w:val="24"/>
        </w:rPr>
        <w:t>（10）驻场服务：本项目包含驻场服务</w:t>
      </w:r>
    </w:p>
    <w:p>
      <w:pPr>
        <w:spacing w:line="360" w:lineRule="auto"/>
        <w:rPr>
          <w:rFonts w:ascii="仿宋" w:hAnsi="仿宋" w:eastAsia="仿宋" w:cs="宋体"/>
          <w:b/>
          <w:kern w:val="0"/>
          <w:sz w:val="24"/>
        </w:rPr>
      </w:pPr>
      <w:r>
        <w:rPr>
          <w:rFonts w:ascii="仿宋" w:hAnsi="仿宋" w:eastAsia="仿宋" w:cs="宋体"/>
          <w:b/>
          <w:kern w:val="0"/>
          <w:sz w:val="24"/>
        </w:rPr>
        <w:t>4.2.安全及系统服务</w:t>
      </w:r>
    </w:p>
    <w:p>
      <w:pPr>
        <w:spacing w:line="360" w:lineRule="auto"/>
        <w:rPr>
          <w:rFonts w:ascii="仿宋" w:hAnsi="仿宋" w:eastAsia="仿宋" w:cs="宋体"/>
          <w:kern w:val="0"/>
          <w:sz w:val="24"/>
        </w:rPr>
      </w:pPr>
      <w:r>
        <w:rPr>
          <w:rFonts w:hint="eastAsia" w:ascii="仿宋" w:hAnsi="仿宋" w:eastAsia="仿宋" w:cs="宋体"/>
          <w:kern w:val="0"/>
          <w:sz w:val="24"/>
        </w:rPr>
        <w:t>（1）突发重大安全及系统故障应急处理：对于出现的机房环境问题、硬件损坏或应用系统等故障的情况，投标人需要在2个小时内上门配合采购人维护，分析具体故障原因和严重程度，制定临时应急方案，尽快恢复系统运行，根据需求及时增加相应人员，配合工作，在规定的期限内完成工作，书写《重大事件备忘》并保证：故障不解决，服务小组不撤离。</w:t>
      </w:r>
    </w:p>
    <w:p>
      <w:pPr>
        <w:spacing w:line="360" w:lineRule="auto"/>
        <w:rPr>
          <w:rFonts w:ascii="仿宋" w:hAnsi="仿宋" w:eastAsia="仿宋" w:cs="宋体"/>
          <w:kern w:val="0"/>
          <w:sz w:val="24"/>
        </w:rPr>
      </w:pPr>
      <w:r>
        <w:rPr>
          <w:rFonts w:hint="eastAsia" w:ascii="仿宋" w:hAnsi="仿宋" w:eastAsia="仿宋" w:cs="宋体"/>
          <w:kern w:val="0"/>
          <w:sz w:val="24"/>
        </w:rPr>
        <w:t>①投标人按照本合同约定采取的补救措施超过10天，服务仍未符合合同约定的，采购人有权自行采取补救措施及使用替代产品，投标人除承担合同约定的违约责任外，还应承担由此造成的采购人损失及增加的价格、费用和相关支出。</w:t>
      </w:r>
    </w:p>
    <w:p>
      <w:pPr>
        <w:spacing w:line="360" w:lineRule="auto"/>
        <w:rPr>
          <w:rFonts w:ascii="仿宋" w:hAnsi="仿宋" w:eastAsia="仿宋" w:cs="宋体"/>
          <w:kern w:val="0"/>
          <w:sz w:val="24"/>
        </w:rPr>
      </w:pPr>
      <w:r>
        <w:rPr>
          <w:rFonts w:hint="eastAsia" w:ascii="仿宋" w:hAnsi="仿宋" w:eastAsia="仿宋" w:cs="宋体"/>
          <w:kern w:val="0"/>
          <w:sz w:val="24"/>
        </w:rPr>
        <w:t>②采购人选择任何补救措施均不减轻或免除投标人依据合同所应承担的违约责任。因投标人原因造成采购人对第三方的责任的，投标人应当同时承担合同约定的违约责任及采购人对第三方的赔偿和其它责任。</w:t>
      </w:r>
    </w:p>
    <w:p>
      <w:pPr>
        <w:spacing w:line="360" w:lineRule="auto"/>
        <w:rPr>
          <w:rFonts w:ascii="仿宋" w:hAnsi="仿宋" w:eastAsia="仿宋" w:cs="宋体"/>
          <w:b/>
          <w:kern w:val="0"/>
          <w:sz w:val="24"/>
        </w:rPr>
      </w:pPr>
      <w:r>
        <w:rPr>
          <w:rFonts w:ascii="仿宋" w:hAnsi="仿宋" w:eastAsia="仿宋" w:cs="宋体"/>
          <w:b/>
          <w:kern w:val="0"/>
          <w:sz w:val="24"/>
        </w:rPr>
        <w:t>4.3.管理、技术咨询和支持服务</w:t>
      </w:r>
    </w:p>
    <w:p>
      <w:pPr>
        <w:spacing w:line="360" w:lineRule="auto"/>
        <w:ind w:firstLine="480" w:firstLineChars="200"/>
        <w:rPr>
          <w:rFonts w:ascii="仿宋" w:hAnsi="仿宋" w:eastAsia="仿宋" w:cs="宋体"/>
          <w:kern w:val="0"/>
          <w:sz w:val="24"/>
        </w:rPr>
      </w:pPr>
      <w:r>
        <w:rPr>
          <w:rFonts w:hint="eastAsia" w:ascii="仿宋" w:hAnsi="仿宋" w:eastAsia="仿宋" w:cs="宋体"/>
          <w:kern w:val="0"/>
          <w:sz w:val="24"/>
        </w:rPr>
        <w:t>为保障采购人产出数据的可用性，为采购人提供管理咨询服务，具体内容如下：</w:t>
      </w:r>
    </w:p>
    <w:p>
      <w:pPr>
        <w:spacing w:line="360" w:lineRule="auto"/>
        <w:rPr>
          <w:rFonts w:ascii="仿宋" w:hAnsi="仿宋" w:eastAsia="仿宋" w:cs="宋体"/>
          <w:kern w:val="0"/>
          <w:sz w:val="24"/>
        </w:rPr>
      </w:pPr>
      <w:r>
        <w:rPr>
          <w:rFonts w:hint="eastAsia" w:ascii="仿宋" w:hAnsi="仿宋" w:eastAsia="仿宋" w:cs="宋体"/>
          <w:kern w:val="0"/>
          <w:sz w:val="24"/>
        </w:rPr>
        <w:t>（1）提供系统测试及操作流程（包含应急演练流程），程序更新后，提供最新版本的测试报告、工作操作指南及软件操作手册；</w:t>
      </w:r>
    </w:p>
    <w:p>
      <w:pPr>
        <w:spacing w:line="360" w:lineRule="auto"/>
        <w:rPr>
          <w:rFonts w:ascii="仿宋" w:hAnsi="仿宋" w:eastAsia="仿宋" w:cs="宋体"/>
          <w:kern w:val="0"/>
          <w:sz w:val="24"/>
        </w:rPr>
      </w:pPr>
      <w:r>
        <w:rPr>
          <w:rFonts w:hint="eastAsia" w:ascii="仿宋" w:hAnsi="仿宋" w:eastAsia="仿宋" w:cs="宋体"/>
          <w:kern w:val="0"/>
          <w:sz w:val="24"/>
        </w:rPr>
        <w:t>（2）对采购人系统相关操作人员（包括但不限于采购人信息中心、业务科室）进行定期培训，并提供应用软件的应用指导及技术支持服务；</w:t>
      </w:r>
    </w:p>
    <w:p>
      <w:pPr>
        <w:spacing w:line="360" w:lineRule="auto"/>
        <w:rPr>
          <w:rFonts w:ascii="仿宋" w:hAnsi="仿宋" w:eastAsia="仿宋" w:cs="宋体"/>
          <w:kern w:val="0"/>
          <w:sz w:val="24"/>
        </w:rPr>
      </w:pPr>
      <w:r>
        <w:rPr>
          <w:rFonts w:hint="eastAsia" w:ascii="仿宋" w:hAnsi="仿宋" w:eastAsia="仿宋" w:cs="宋体"/>
          <w:kern w:val="0"/>
          <w:sz w:val="24"/>
        </w:rPr>
        <w:t>（3）提供现场数据分析咨询服务；协助采购人进行数据分析及提供管理建议；</w:t>
      </w:r>
    </w:p>
    <w:p>
      <w:pPr>
        <w:spacing w:line="360" w:lineRule="auto"/>
        <w:rPr>
          <w:rFonts w:ascii="仿宋" w:hAnsi="仿宋" w:eastAsia="仿宋" w:cs="宋体"/>
          <w:kern w:val="0"/>
          <w:sz w:val="24"/>
        </w:rPr>
      </w:pPr>
      <w:r>
        <w:rPr>
          <w:rFonts w:hint="eastAsia" w:ascii="仿宋" w:hAnsi="仿宋" w:eastAsia="仿宋" w:cs="宋体"/>
          <w:kern w:val="0"/>
          <w:sz w:val="24"/>
        </w:rPr>
        <w:t>（4）按照采购人要求汇报、安排和处理投标人对本项目的履行情况，包括但不限于工作进度、履行过程中的问题等。</w:t>
      </w:r>
    </w:p>
    <w:p>
      <w:pPr>
        <w:spacing w:line="360" w:lineRule="auto"/>
        <w:rPr>
          <w:rFonts w:ascii="仿宋" w:hAnsi="仿宋" w:eastAsia="仿宋" w:cs="宋体"/>
          <w:kern w:val="0"/>
          <w:sz w:val="24"/>
        </w:rPr>
      </w:pPr>
      <w:r>
        <w:rPr>
          <w:rFonts w:hint="eastAsia" w:ascii="仿宋" w:hAnsi="仿宋" w:eastAsia="仿宋" w:cs="宋体"/>
          <w:kern w:val="0"/>
          <w:sz w:val="24"/>
        </w:rPr>
        <w:t>（5）按照采购人要求参加例会，不能无故缺席。</w:t>
      </w:r>
    </w:p>
    <w:p>
      <w:pPr>
        <w:spacing w:line="360" w:lineRule="auto"/>
        <w:rPr>
          <w:rFonts w:ascii="仿宋" w:hAnsi="仿宋" w:eastAsia="仿宋" w:cs="宋体"/>
          <w:b/>
          <w:kern w:val="0"/>
          <w:sz w:val="24"/>
        </w:rPr>
      </w:pPr>
      <w:r>
        <w:rPr>
          <w:rFonts w:ascii="仿宋" w:hAnsi="仿宋" w:eastAsia="仿宋" w:cs="宋体"/>
          <w:b/>
          <w:kern w:val="0"/>
          <w:sz w:val="24"/>
        </w:rPr>
        <w:t>4.4.项目文档资料及工作报告要求</w:t>
      </w:r>
    </w:p>
    <w:p>
      <w:pPr>
        <w:spacing w:line="360" w:lineRule="auto"/>
        <w:rPr>
          <w:rFonts w:ascii="仿宋" w:hAnsi="仿宋" w:eastAsia="仿宋" w:cs="宋体"/>
          <w:kern w:val="0"/>
          <w:sz w:val="24"/>
        </w:rPr>
      </w:pPr>
      <w:r>
        <w:rPr>
          <w:rFonts w:hint="eastAsia" w:ascii="仿宋" w:hAnsi="仿宋" w:eastAsia="仿宋" w:cs="宋体"/>
          <w:kern w:val="0"/>
          <w:sz w:val="24"/>
        </w:rPr>
        <w:t>（1）投标人应在采购人要求期限内向采购人提供与合同有关的所有文档资料并应符合合同及采购人要求，其中应至少包括合同中所列内容。</w:t>
      </w:r>
    </w:p>
    <w:p>
      <w:pPr>
        <w:spacing w:line="360" w:lineRule="auto"/>
        <w:rPr>
          <w:rFonts w:ascii="仿宋" w:hAnsi="仿宋" w:eastAsia="仿宋" w:cs="宋体"/>
          <w:kern w:val="0"/>
          <w:sz w:val="24"/>
        </w:rPr>
      </w:pPr>
      <w:r>
        <w:rPr>
          <w:rFonts w:hint="eastAsia" w:ascii="仿宋" w:hAnsi="仿宋" w:eastAsia="仿宋" w:cs="宋体"/>
          <w:kern w:val="0"/>
          <w:sz w:val="24"/>
        </w:rPr>
        <w:t>（2）所有文档资料应符合上述要求，否则采购人有权拒收。重新提交这些文档资料的费用以及由此造成的项目延误由投标人负责。</w:t>
      </w:r>
    </w:p>
    <w:p>
      <w:pPr>
        <w:spacing w:line="360" w:lineRule="auto"/>
        <w:rPr>
          <w:rFonts w:ascii="仿宋" w:hAnsi="仿宋" w:eastAsia="仿宋" w:cs="宋体"/>
          <w:kern w:val="0"/>
          <w:sz w:val="24"/>
        </w:rPr>
      </w:pPr>
      <w:r>
        <w:rPr>
          <w:rFonts w:hint="eastAsia" w:ascii="仿宋" w:hAnsi="仿宋" w:eastAsia="仿宋" w:cs="宋体"/>
          <w:kern w:val="0"/>
          <w:sz w:val="24"/>
        </w:rPr>
        <w:t>（3）已规定的文档资料外，投标人应根据具体情况提供其他与采购人或合同有关及采购人要求的资料。</w:t>
      </w:r>
    </w:p>
    <w:p>
      <w:pPr>
        <w:spacing w:line="360" w:lineRule="auto"/>
        <w:rPr>
          <w:rFonts w:ascii="仿宋" w:hAnsi="仿宋" w:eastAsia="仿宋" w:cs="宋体"/>
          <w:kern w:val="0"/>
          <w:sz w:val="24"/>
        </w:rPr>
      </w:pPr>
      <w:r>
        <w:rPr>
          <w:rFonts w:hint="eastAsia" w:ascii="仿宋" w:hAnsi="仿宋" w:eastAsia="仿宋" w:cs="宋体"/>
          <w:kern w:val="0"/>
          <w:sz w:val="24"/>
        </w:rPr>
        <w:t>（4）合同到期后，采购人通过电话及电子邮件方式通知投标人参加验收会，投标人需按采购人时间要求提交验收申请及验收文档，并按时参加验收会。</w:t>
      </w:r>
    </w:p>
    <w:p>
      <w:pPr>
        <w:spacing w:line="360" w:lineRule="auto"/>
        <w:rPr>
          <w:rFonts w:ascii="仿宋" w:hAnsi="仿宋" w:eastAsia="仿宋" w:cs="宋体"/>
          <w:b/>
          <w:kern w:val="0"/>
          <w:sz w:val="24"/>
        </w:rPr>
      </w:pPr>
      <w:r>
        <w:rPr>
          <w:rFonts w:ascii="仿宋" w:hAnsi="仿宋" w:eastAsia="仿宋" w:cs="宋体"/>
          <w:b/>
          <w:kern w:val="0"/>
          <w:sz w:val="24"/>
        </w:rPr>
        <w:t>5、</w:t>
      </w:r>
      <w:r>
        <w:rPr>
          <w:rFonts w:hint="eastAsia" w:ascii="仿宋" w:hAnsi="仿宋" w:eastAsia="仿宋" w:cs="宋体"/>
          <w:b/>
          <w:kern w:val="0"/>
          <w:sz w:val="24"/>
        </w:rPr>
        <w:t>人员要求</w:t>
      </w:r>
    </w:p>
    <w:p>
      <w:pPr>
        <w:spacing w:line="360" w:lineRule="auto"/>
        <w:rPr>
          <w:rFonts w:ascii="仿宋" w:hAnsi="仿宋" w:eastAsia="仿宋" w:cs="宋体"/>
          <w:kern w:val="0"/>
          <w:sz w:val="24"/>
        </w:rPr>
      </w:pPr>
      <w:r>
        <w:rPr>
          <w:rFonts w:hint="eastAsia" w:ascii="仿宋" w:hAnsi="仿宋" w:eastAsia="仿宋" w:cs="宋体"/>
          <w:kern w:val="0"/>
          <w:sz w:val="24"/>
        </w:rPr>
        <w:t>5.1.投标人保证按时派遣合格、有熟练经验且能够胜任本合同工作的技术人员提供专业、优质、正确和高效的技术服务，填写《系统运维服务人员信息表》，就项目人员向采购人进行备案。</w:t>
      </w:r>
    </w:p>
    <w:p>
      <w:pPr>
        <w:spacing w:line="360" w:lineRule="auto"/>
        <w:rPr>
          <w:rFonts w:ascii="仿宋" w:hAnsi="仿宋" w:eastAsia="仿宋" w:cs="宋体"/>
          <w:kern w:val="0"/>
          <w:sz w:val="24"/>
        </w:rPr>
      </w:pPr>
      <w:r>
        <w:rPr>
          <w:rFonts w:hint="eastAsia" w:ascii="仿宋" w:hAnsi="仿宋" w:eastAsia="仿宋" w:cs="宋体"/>
          <w:kern w:val="0"/>
          <w:sz w:val="24"/>
        </w:rPr>
        <w:t>5.2.投标人在招标文件中确定的每个角色负责人在完成项目整体文档交付及向采购人汇报项目全年整体运维情况且经审核通过前不得更换，如因特殊原因确需更换，所更换的每个角色负责人资历和项目经验不得低于原项目经理及人员，并应事先征得采购人的书面同意，且投标人应保证工作平稳顺利进行，否则视为投标人违约。</w:t>
      </w:r>
    </w:p>
    <w:p>
      <w:pPr>
        <w:spacing w:line="360" w:lineRule="auto"/>
        <w:rPr>
          <w:rFonts w:ascii="仿宋" w:hAnsi="仿宋" w:eastAsia="仿宋" w:cs="宋体"/>
          <w:kern w:val="0"/>
          <w:sz w:val="24"/>
        </w:rPr>
      </w:pPr>
      <w:r>
        <w:rPr>
          <w:rFonts w:hint="eastAsia" w:ascii="仿宋" w:hAnsi="仿宋" w:eastAsia="仿宋" w:cs="宋体"/>
          <w:kern w:val="0"/>
          <w:sz w:val="24"/>
        </w:rPr>
        <w:t>5.3.投标人从第三方雇佣技术服务人员的，所有费用应由投标人自行承担，且投标人所雇佣的任何人员须经采购人事前书面同意。</w:t>
      </w:r>
    </w:p>
    <w:p>
      <w:pPr>
        <w:spacing w:line="360" w:lineRule="auto"/>
        <w:rPr>
          <w:rFonts w:ascii="仿宋" w:hAnsi="仿宋" w:eastAsia="仿宋" w:cs="宋体"/>
          <w:kern w:val="0"/>
          <w:sz w:val="24"/>
        </w:rPr>
      </w:pPr>
      <w:r>
        <w:rPr>
          <w:rFonts w:hint="eastAsia" w:ascii="仿宋" w:hAnsi="仿宋" w:eastAsia="仿宋" w:cs="宋体"/>
          <w:kern w:val="0"/>
          <w:sz w:val="24"/>
        </w:rPr>
        <w:t>5.4.投标人按照采购人工作时间及要求进行上下班并签到。</w:t>
      </w:r>
    </w:p>
    <w:p>
      <w:pPr>
        <w:spacing w:line="360" w:lineRule="auto"/>
        <w:rPr>
          <w:rFonts w:ascii="仿宋" w:hAnsi="仿宋" w:eastAsia="仿宋" w:cs="宋体"/>
          <w:kern w:val="0"/>
          <w:sz w:val="24"/>
        </w:rPr>
      </w:pPr>
      <w:r>
        <w:rPr>
          <w:rFonts w:hint="eastAsia" w:ascii="仿宋" w:hAnsi="仿宋" w:eastAsia="仿宋" w:cs="宋体"/>
          <w:kern w:val="0"/>
          <w:sz w:val="24"/>
        </w:rPr>
        <w:t>5.5.涉及与科室确认沟通时，发现问题第一时间反馈采购人信息中心负责人员，积极解决；系统进行更新、维护等操作，须先通知采购人信息中心人员，确认方案后方可执行；涉及程序修改的，在投标人内部修改完成后，由投标人进行测试无误后，交于项目负责人进行测试，测试完成经采购人信息中心人员确认后，方可更新程序。</w:t>
      </w:r>
    </w:p>
    <w:p>
      <w:pPr>
        <w:spacing w:line="360" w:lineRule="auto"/>
        <w:rPr>
          <w:rFonts w:ascii="仿宋" w:hAnsi="仿宋" w:eastAsia="仿宋" w:cs="宋体"/>
          <w:kern w:val="0"/>
          <w:sz w:val="24"/>
        </w:rPr>
      </w:pPr>
      <w:r>
        <w:rPr>
          <w:rFonts w:hint="eastAsia" w:ascii="仿宋" w:hAnsi="仿宋" w:eastAsia="仿宋" w:cs="宋体"/>
          <w:kern w:val="0"/>
          <w:sz w:val="24"/>
        </w:rPr>
        <w:t>5.6.服从采购人信息中心工作安排，严格遵守采购人信息中心安全管理要求。</w:t>
      </w:r>
    </w:p>
    <w:p>
      <w:pPr>
        <w:spacing w:line="360" w:lineRule="auto"/>
        <w:rPr>
          <w:rFonts w:ascii="仿宋" w:hAnsi="仿宋" w:eastAsia="仿宋" w:cs="宋体"/>
          <w:kern w:val="0"/>
          <w:sz w:val="24"/>
        </w:rPr>
      </w:pPr>
      <w:r>
        <w:rPr>
          <w:rFonts w:hint="eastAsia" w:ascii="仿宋" w:hAnsi="仿宋" w:eastAsia="仿宋" w:cs="宋体"/>
          <w:kern w:val="0"/>
          <w:sz w:val="24"/>
        </w:rPr>
        <w:t>5.7.采购人有权对工作不称职的工程师要求更换，投标人应在5个工作日内更换新的合格工程师到场，工程师更换次数一年不得超过3次。</w:t>
      </w:r>
    </w:p>
    <w:p>
      <w:pPr>
        <w:spacing w:line="360" w:lineRule="auto"/>
        <w:rPr>
          <w:rFonts w:ascii="仿宋" w:hAnsi="仿宋" w:eastAsia="仿宋" w:cs="宋体"/>
          <w:kern w:val="0"/>
          <w:sz w:val="24"/>
        </w:rPr>
      </w:pPr>
      <w:r>
        <w:rPr>
          <w:rFonts w:hint="eastAsia" w:ascii="仿宋" w:hAnsi="仿宋" w:eastAsia="仿宋" w:cs="宋体"/>
          <w:kern w:val="0"/>
          <w:sz w:val="24"/>
        </w:rPr>
        <w:t>5.8.若工程师在项目过程中遭到采购人工作人员或患者投诉，投标人应在24小时内处理投诉，并把处理结果反馈给采购人，确因工程师问题造成采购人经济损失的，投标人需照价赔偿。</w:t>
      </w:r>
    </w:p>
    <w:p>
      <w:pPr>
        <w:pStyle w:val="2"/>
        <w:rPr>
          <w:sz w:val="24"/>
        </w:rPr>
      </w:pPr>
      <w:r>
        <w:rPr>
          <w:rFonts w:hint="eastAsia"/>
          <w:sz w:val="24"/>
        </w:rPr>
        <w:t>5.9.工程师需按照采购人要求填写相关安全、保密协议，遵守采购人工作时间要求，如需请假，须经采购人签批，同时，投标人需派合格的替岗人员到场。</w:t>
      </w:r>
    </w:p>
    <w:p>
      <w:pPr>
        <w:pStyle w:val="2"/>
      </w:pPr>
      <w:r>
        <w:rPr>
          <w:rFonts w:hint="eastAsia"/>
          <w:sz w:val="24"/>
        </w:rPr>
        <w:t>投标人应按采购人要求，HIS系统提供4名驻场人员(其中2名实施工程师及2名研发工程师)，人员要求如下：</w:t>
      </w:r>
    </w:p>
    <w:p>
      <w:pPr>
        <w:pStyle w:val="2"/>
        <w:rPr>
          <w:sz w:val="24"/>
          <w:szCs w:val="24"/>
        </w:rPr>
      </w:pPr>
      <w:r>
        <w:rPr>
          <w:rFonts w:hint="eastAsia"/>
          <w:sz w:val="24"/>
          <w:szCs w:val="24"/>
        </w:rPr>
        <w:t>（1）驻场工程师应在合同签订之日起10个工作日内到岗。</w:t>
      </w:r>
    </w:p>
    <w:p>
      <w:pPr>
        <w:pStyle w:val="2"/>
        <w:rPr>
          <w:sz w:val="24"/>
          <w:szCs w:val="24"/>
        </w:rPr>
      </w:pPr>
      <w:r>
        <w:rPr>
          <w:rFonts w:hint="eastAsia"/>
          <w:sz w:val="24"/>
          <w:szCs w:val="24"/>
        </w:rPr>
        <w:t>（2）投标人驻场人员的人身安全由投标人负责，如在采购人服务场所发生任何人身伤亡事件，均由投标人承担全部责任。</w:t>
      </w:r>
    </w:p>
    <w:p>
      <w:pPr>
        <w:pStyle w:val="2"/>
        <w:rPr>
          <w:rFonts w:hint="default"/>
          <w:b/>
          <w:bCs/>
          <w:sz w:val="32"/>
          <w:szCs w:val="40"/>
          <w:lang w:val="en-US" w:eastAsia="zh-CN"/>
        </w:rPr>
      </w:pPr>
      <w:r>
        <w:rPr>
          <w:rFonts w:hint="eastAsia"/>
          <w:sz w:val="24"/>
          <w:szCs w:val="24"/>
        </w:rPr>
        <w:t>（3）本项目约定的驻场人员不得兼任其它项目，如兼任其他项目视为投标人违约</w:t>
      </w:r>
      <w:r>
        <w:rPr>
          <w:rFonts w:hint="eastAsia"/>
          <w:sz w:val="24"/>
          <w:szCs w:val="24"/>
          <w:lang w:eastAsia="zh-CN"/>
        </w:rPr>
        <w:t>。</w:t>
      </w:r>
      <w:bookmarkStart w:id="3" w:name="_GoBack"/>
      <w:bookmarkEnd w:id="3"/>
    </w:p>
    <w:sectPr>
      <w:headerReference r:id="rId6" w:type="default"/>
      <w:footerReference r:id="rId7"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Symbol">
    <w:panose1 w:val="020B0502040204020203"/>
    <w:charset w:val="00"/>
    <w:family w:val="swiss"/>
    <w:pitch w:val="default"/>
    <w:sig w:usb0="800001E3" w:usb1="1200FFEF" w:usb2="00040000" w:usb3="04000000" w:csb0="00000001" w:csb1="4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mc:AlternateContent>
        <mc:Choice Requires="wps">
          <w:drawing>
            <wp:anchor distT="0" distB="0" distL="114300" distR="114300" simplePos="0" relativeHeight="251662336" behindDoc="1" locked="0" layoutInCell="1" allowOverlap="1">
              <wp:simplePos x="0" y="0"/>
              <wp:positionH relativeFrom="page">
                <wp:posOffset>6191250</wp:posOffset>
              </wp:positionH>
              <wp:positionV relativeFrom="page">
                <wp:posOffset>10129520</wp:posOffset>
              </wp:positionV>
              <wp:extent cx="484505" cy="1524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484505" cy="152400"/>
                      </a:xfrm>
                      <a:prstGeom prst="rect">
                        <a:avLst/>
                      </a:prstGeom>
                      <a:noFill/>
                      <a:ln>
                        <a:noFill/>
                      </a:ln>
                    </wps:spPr>
                    <wps:txbx>
                      <w:txbxContent>
                        <w:p>
                          <w:pPr>
                            <w:spacing w:before="12"/>
                            <w:ind w:left="20"/>
                            <w:jc w:val="left"/>
                            <w:rPr>
                              <w:rFonts w:ascii="Times New Roman" w:hAnsi="Times New Roman"/>
                              <w:sz w:val="18"/>
                            </w:rPr>
                          </w:pPr>
                          <w:r>
                            <w:rPr>
                              <w:rFonts w:ascii="Times New Roman" w:hAnsi="Times New Roman"/>
                              <w:sz w:val="18"/>
                            </w:rPr>
                            <w:t xml:space="preserve">— </w:t>
                          </w:r>
                          <w:r>
                            <w:fldChar w:fldCharType="begin"/>
                          </w:r>
                          <w:r>
                            <w:rPr>
                              <w:rFonts w:ascii="Times New Roman" w:hAnsi="Times New Roman"/>
                              <w:sz w:val="18"/>
                            </w:rPr>
                            <w:instrText xml:space="preserve"> PAGE </w:instrText>
                          </w:r>
                          <w:r>
                            <w:fldChar w:fldCharType="separate"/>
                          </w:r>
                          <w:r>
                            <w:rPr>
                              <w:rFonts w:ascii="Times New Roman" w:hAnsi="Times New Roman"/>
                              <w:sz w:val="18"/>
                            </w:rPr>
                            <w:t>49</w:t>
                          </w:r>
                          <w:r>
                            <w:fldChar w:fldCharType="end"/>
                          </w:r>
                          <w:r>
                            <w:rPr>
                              <w:rFonts w:ascii="Times New Roman" w:hAnsi="Times New Roman"/>
                              <w:sz w:val="18"/>
                            </w:rPr>
                            <w:t xml:space="preserve"> —</w:t>
                          </w:r>
                        </w:p>
                      </w:txbxContent>
                    </wps:txbx>
                    <wps:bodyPr lIns="0" tIns="0" rIns="0" bIns="0" upright="1"/>
                  </wps:wsp>
                </a:graphicData>
              </a:graphic>
            </wp:anchor>
          </w:drawing>
        </mc:Choice>
        <mc:Fallback>
          <w:pict>
            <v:shape id="_x0000_s1026" o:spid="_x0000_s1026" o:spt="202" type="#_x0000_t202" style="position:absolute;left:0pt;margin-left:487.5pt;margin-top:797.6pt;height:12pt;width:38.15pt;mso-position-horizontal-relative:page;mso-position-vertical-relative:page;z-index:-251654144;mso-width-relative:page;mso-height-relative:page;" filled="f" stroked="f" coordsize="21600,21600" o:gfxdata="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GfulDPbAAAADgEAAA8AAAAAAAAAAQAgAAAAIgAAAGRycy9kb3ducmV2LnhtbFBL&#10;AQIUABQAAAAIAIdO4kBMX037ugEAAHEDAAAOAAAAAAAAAAEAIAAAACoBAABkcnMvZTJvRG9jLnht&#10;bFBLBQYAAAAABgAGAFkBAABWBQAAAAA=&#10;">
              <v:fill on="f" focussize="0,0"/>
              <v:stroke on="f"/>
              <v:imagedata o:title=""/>
              <o:lock v:ext="edit" aspectratio="f"/>
              <v:textbox inset="0mm,0mm,0mm,0mm">
                <w:txbxContent>
                  <w:p>
                    <w:pPr>
                      <w:spacing w:before="12"/>
                      <w:ind w:left="20"/>
                      <w:jc w:val="left"/>
                      <w:rPr>
                        <w:rFonts w:ascii="Times New Roman" w:hAnsi="Times New Roman"/>
                        <w:sz w:val="18"/>
                      </w:rPr>
                    </w:pPr>
                    <w:r>
                      <w:rPr>
                        <w:rFonts w:ascii="Times New Roman" w:hAnsi="Times New Roman"/>
                        <w:sz w:val="18"/>
                      </w:rPr>
                      <w:t xml:space="preserve">— </w:t>
                    </w:r>
                    <w:r>
                      <w:fldChar w:fldCharType="begin"/>
                    </w:r>
                    <w:r>
                      <w:rPr>
                        <w:rFonts w:ascii="Times New Roman" w:hAnsi="Times New Roman"/>
                        <w:sz w:val="18"/>
                      </w:rPr>
                      <w:instrText xml:space="preserve"> PAGE </w:instrText>
                    </w:r>
                    <w:r>
                      <w:fldChar w:fldCharType="separate"/>
                    </w:r>
                    <w:r>
                      <w:rPr>
                        <w:rFonts w:ascii="Times New Roman" w:hAnsi="Times New Roman"/>
                        <w:sz w:val="18"/>
                      </w:rPr>
                      <w:t>49</w:t>
                    </w:r>
                    <w:r>
                      <w:fldChar w:fldCharType="end"/>
                    </w:r>
                    <w:r>
                      <w:rPr>
                        <w:rFonts w:ascii="Times New Roman" w:hAnsi="Times New Roman"/>
                        <w:sz w:val="18"/>
                      </w:rPr>
                      <w:t xml:space="preserve"> —</w:t>
                    </w:r>
                  </w:p>
                </w:txbxContent>
              </v:textbox>
            </v:shape>
          </w:pict>
        </mc:Fallback>
      </mc:AlternateContent>
    </w:r>
    <w:r>
      <mc:AlternateContent>
        <mc:Choice Requires="wps">
          <w:drawing>
            <wp:anchor distT="0" distB="0" distL="114300" distR="114300" simplePos="0" relativeHeight="251663360" behindDoc="1" locked="0" layoutInCell="1" allowOverlap="1">
              <wp:simplePos x="0" y="0"/>
              <wp:positionH relativeFrom="page">
                <wp:posOffset>887730</wp:posOffset>
              </wp:positionH>
              <wp:positionV relativeFrom="page">
                <wp:posOffset>10146030</wp:posOffset>
              </wp:positionV>
              <wp:extent cx="101600" cy="177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01600" cy="177800"/>
                      </a:xfrm>
                      <a:prstGeom prst="rect">
                        <a:avLst/>
                      </a:prstGeom>
                      <a:noFill/>
                      <a:ln>
                        <a:noFill/>
                      </a:ln>
                    </wps:spPr>
                    <wps:txbx>
                      <w:txbxContent>
                        <w:p>
                          <w:pPr>
                            <w:spacing w:line="280" w:lineRule="exact"/>
                            <w:ind w:left="20"/>
                            <w:jc w:val="left"/>
                            <w:rPr>
                              <w:rFonts w:ascii="宋体"/>
                              <w:sz w:val="24"/>
                            </w:rPr>
                          </w:pPr>
                        </w:p>
                      </w:txbxContent>
                    </wps:txbx>
                    <wps:bodyPr lIns="0" tIns="0" rIns="0" bIns="0" upright="1"/>
                  </wps:wsp>
                </a:graphicData>
              </a:graphic>
            </wp:anchor>
          </w:drawing>
        </mc:Choice>
        <mc:Fallback>
          <w:pict>
            <v:shape id="_x0000_s1026" o:spid="_x0000_s1026" o:spt="202" type="#_x0000_t202" style="position:absolute;left:0pt;margin-left:69.9pt;margin-top:798.9pt;height:14pt;width:8pt;mso-position-horizontal-relative:page;mso-position-vertical-relative:page;z-index:-251653120;mso-width-relative:page;mso-height-relative:page;" filled="f" stroked="f" coordsize="21600,21600" o:gfxdata="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HVxGCfXAAAADQEAAA8AAAAAAAAAAQAgAAAAIgAAAGRycy9kb3ducmV2LnhtbFBLAQIUABQA&#10;AAAIAIdO4kDzPZSEuAEAAHEDAAAOAAAAAAAAAAEAIAAAACYBAABkcnMvZTJvRG9jLnhtbFBLBQYA&#10;AAAABgAGAFkBAABQBQAAAAA=&#10;">
              <v:fill on="f" focussize="0,0"/>
              <v:stroke on="f"/>
              <v:imagedata o:title=""/>
              <o:lock v:ext="edit" aspectratio="f"/>
              <v:textbox inset="0mm,0mm,0mm,0mm">
                <w:txbxContent>
                  <w:p>
                    <w:pPr>
                      <w:spacing w:line="280" w:lineRule="exact"/>
                      <w:ind w:left="20"/>
                      <w:jc w:val="left"/>
                      <w:rPr>
                        <w:rFonts w:ascii="宋体"/>
                        <w:sz w:val="24"/>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mc:AlternateContent>
        <mc:Choice Requires="wps">
          <w:drawing>
            <wp:anchor distT="0" distB="0" distL="114300" distR="114300" simplePos="0" relativeHeight="251664384" behindDoc="1" locked="0" layoutInCell="1" allowOverlap="1">
              <wp:simplePos x="0" y="0"/>
              <wp:positionH relativeFrom="page">
                <wp:posOffset>887730</wp:posOffset>
              </wp:positionH>
              <wp:positionV relativeFrom="page">
                <wp:posOffset>10193655</wp:posOffset>
              </wp:positionV>
              <wp:extent cx="484505" cy="1524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484505" cy="152400"/>
                      </a:xfrm>
                      <a:prstGeom prst="rect">
                        <a:avLst/>
                      </a:prstGeom>
                      <a:noFill/>
                      <a:ln>
                        <a:noFill/>
                      </a:ln>
                    </wps:spPr>
                    <wps:txbx>
                      <w:txbxContent>
                        <w:p>
                          <w:pPr>
                            <w:spacing w:before="12"/>
                            <w:ind w:left="20"/>
                            <w:jc w:val="left"/>
                            <w:rPr>
                              <w:rFonts w:ascii="Times New Roman" w:hAnsi="Times New Roman"/>
                              <w:sz w:val="18"/>
                            </w:rPr>
                          </w:pPr>
                          <w:r>
                            <w:rPr>
                              <w:rFonts w:ascii="Times New Roman" w:hAnsi="Times New Roman"/>
                              <w:sz w:val="18"/>
                            </w:rPr>
                            <w:t xml:space="preserve">— </w:t>
                          </w:r>
                          <w:r>
                            <w:fldChar w:fldCharType="begin"/>
                          </w:r>
                          <w:r>
                            <w:rPr>
                              <w:rFonts w:ascii="Times New Roman" w:hAnsi="Times New Roman"/>
                              <w:sz w:val="18"/>
                            </w:rPr>
                            <w:instrText xml:space="preserve"> PAGE </w:instrText>
                          </w:r>
                          <w:r>
                            <w:fldChar w:fldCharType="separate"/>
                          </w:r>
                          <w:r>
                            <w:t>30</w:t>
                          </w:r>
                          <w:r>
                            <w:fldChar w:fldCharType="end"/>
                          </w:r>
                          <w:r>
                            <w:rPr>
                              <w:rFonts w:ascii="Times New Roman" w:hAnsi="Times New Roman"/>
                              <w:sz w:val="18"/>
                            </w:rPr>
                            <w:t xml:space="preserve"> —</w:t>
                          </w:r>
                        </w:p>
                      </w:txbxContent>
                    </wps:txbx>
                    <wps:bodyPr lIns="0" tIns="0" rIns="0" bIns="0" upright="1"/>
                  </wps:wsp>
                </a:graphicData>
              </a:graphic>
            </wp:anchor>
          </w:drawing>
        </mc:Choice>
        <mc:Fallback>
          <w:pict>
            <v:shape id="_x0000_s1026" o:spid="_x0000_s1026" o:spt="202" type="#_x0000_t202" style="position:absolute;left:0pt;margin-left:69.9pt;margin-top:802.65pt;height:12pt;width:38.15pt;mso-position-horizontal-relative:page;mso-position-vertical-relative:page;z-index:-251652096;mso-width-relative:page;mso-height-relative:page;" filled="f" stroked="f" coordsize="21600,21600" o:gfxdata="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G4MxnTaAAAADQEAAA8AAAAAAAAAAQAgAAAAIgAAAGRycy9kb3ducmV2LnhtbFBL&#10;AQIUABQAAAAIAIdO4kDnum9muwEAAHEDAAAOAAAAAAAAAAEAIAAAACkBAABkcnMvZTJvRG9jLnht&#10;bFBLBQYAAAAABgAGAFkBAABWBQAAAAA=&#10;">
              <v:fill on="f" focussize="0,0"/>
              <v:stroke on="f"/>
              <v:imagedata o:title=""/>
              <o:lock v:ext="edit" aspectratio="f"/>
              <v:textbox inset="0mm,0mm,0mm,0mm">
                <w:txbxContent>
                  <w:p>
                    <w:pPr>
                      <w:spacing w:before="12"/>
                      <w:ind w:left="20"/>
                      <w:jc w:val="left"/>
                      <w:rPr>
                        <w:rFonts w:ascii="Times New Roman" w:hAnsi="Times New Roman"/>
                        <w:sz w:val="18"/>
                      </w:rPr>
                    </w:pPr>
                    <w:r>
                      <w:rPr>
                        <w:rFonts w:ascii="Times New Roman" w:hAnsi="Times New Roman"/>
                        <w:sz w:val="18"/>
                      </w:rPr>
                      <w:t xml:space="preserve">— </w:t>
                    </w:r>
                    <w:r>
                      <w:fldChar w:fldCharType="begin"/>
                    </w:r>
                    <w:r>
                      <w:rPr>
                        <w:rFonts w:ascii="Times New Roman" w:hAnsi="Times New Roman"/>
                        <w:sz w:val="18"/>
                      </w:rPr>
                      <w:instrText xml:space="preserve"> PAGE </w:instrText>
                    </w:r>
                    <w:r>
                      <w:fldChar w:fldCharType="separate"/>
                    </w:r>
                    <w:r>
                      <w:t>30</w:t>
                    </w:r>
                    <w:r>
                      <w:fldChar w:fldCharType="end"/>
                    </w:r>
                    <w:r>
                      <w:rPr>
                        <w:rFonts w:ascii="Times New Roman" w:hAnsi="Times New Roman"/>
                        <w:sz w:val="1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7"/>
      </w:rPr>
    </w:pPr>
    <w:r>
      <w:fldChar w:fldCharType="begin"/>
    </w:r>
    <w:r>
      <w:rPr>
        <w:rStyle w:val="17"/>
      </w:rPr>
      <w:instrText xml:space="preserve">PAGE  </w:instrText>
    </w:r>
    <w:r>
      <w:fldChar w:fldCharType="separate"/>
    </w:r>
    <w:r>
      <w:rPr>
        <w:rStyle w:val="17"/>
      </w:rPr>
      <w:t>53</w:t>
    </w:r>
    <w:r>
      <w:fldChar w:fldCharType="end"/>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882650</wp:posOffset>
              </wp:positionH>
              <wp:positionV relativeFrom="page">
                <wp:posOffset>603885</wp:posOffset>
              </wp:positionV>
              <wp:extent cx="5796280" cy="0"/>
              <wp:effectExtent l="0" t="0" r="0" b="0"/>
              <wp:wrapNone/>
              <wp:docPr id="1" name="直线 1"/>
              <wp:cNvGraphicFramePr/>
              <a:graphic xmlns:a="http://schemas.openxmlformats.org/drawingml/2006/main">
                <a:graphicData uri="http://schemas.microsoft.com/office/word/2010/wordprocessingShape">
                  <wps:wsp>
                    <wps:cNvCnPr/>
                    <wps:spPr>
                      <a:xfrm>
                        <a:off x="0" y="0"/>
                        <a:ext cx="5796280" cy="0"/>
                      </a:xfrm>
                      <a:prstGeom prst="line">
                        <a:avLst/>
                      </a:prstGeom>
                      <a:ln w="9144" cap="flat" cmpd="sng">
                        <a:solidFill>
                          <a:srgbClr val="000000"/>
                        </a:solidFill>
                        <a:prstDash val="solid"/>
                        <a:headEnd type="none" w="med" len="med"/>
                        <a:tailEnd type="none" w="med" len="med"/>
                      </a:ln>
                    </wps:spPr>
                    <wps:bodyPr/>
                  </wps:wsp>
                </a:graphicData>
              </a:graphic>
            </wp:anchor>
          </w:drawing>
        </mc:Choice>
        <mc:Fallback>
          <w:pict>
            <v:line id="直线 1" o:spid="_x0000_s1026" o:spt="20" style="position:absolute;left:0pt;margin-left:69.5pt;margin-top:47.55pt;height:0pt;width:456.4pt;mso-position-horizontal-relative:page;mso-position-vertical-relative:page;z-index:-251657216;mso-width-relative:page;mso-height-relative:page;" filled="f" stroked="t" coordsize="21600,21600" o:gfxdata="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LsMoZ1QAAAAoBAAAPAAAA&#10;AAAAAAEAIAAAACIAAABkcnMvZG93bnJldi54bWxQSwECFAAUAAAACACHTuJAYzpk2d8BAADPAwAA&#10;DgAAAAAAAAABACAAAAAkAQAAZHJzL2Uyb0RvYy54bWxQSwUGAAAAAAYABgBZAQAAdQUAAAAA&#10;">
              <v:fill on="f" focussize="0,0"/>
              <v:stroke weight="0.72pt" color="#000000" joinstyle="round"/>
              <v:imagedata o:title=""/>
              <o:lock v:ext="edit" aspectratio="f"/>
            </v:line>
          </w:pict>
        </mc:Fallback>
      </mc:AlternateContent>
    </w:r>
    <w:r>
      <mc:AlternateContent>
        <mc:Choice Requires="wps">
          <w:drawing>
            <wp:anchor distT="0" distB="0" distL="114300" distR="114300" simplePos="0" relativeHeight="251660288" behindDoc="1" locked="0" layoutInCell="1" allowOverlap="1">
              <wp:simplePos x="0" y="0"/>
              <wp:positionH relativeFrom="page">
                <wp:posOffset>887730</wp:posOffset>
              </wp:positionH>
              <wp:positionV relativeFrom="page">
                <wp:posOffset>372110</wp:posOffset>
              </wp:positionV>
              <wp:extent cx="560705" cy="202565"/>
              <wp:effectExtent l="0" t="0" r="0" b="0"/>
              <wp:wrapNone/>
              <wp:docPr id="2" name="文本框 2"/>
              <wp:cNvGraphicFramePr/>
              <a:graphic xmlns:a="http://schemas.openxmlformats.org/drawingml/2006/main">
                <a:graphicData uri="http://schemas.microsoft.com/office/word/2010/wordprocessingShape">
                  <wps:wsp>
                    <wps:cNvSpPr txBox="1"/>
                    <wps:spPr>
                      <a:xfrm>
                        <a:off x="0" y="0"/>
                        <a:ext cx="560705" cy="202565"/>
                      </a:xfrm>
                      <a:prstGeom prst="rect">
                        <a:avLst/>
                      </a:prstGeom>
                      <a:noFill/>
                      <a:ln>
                        <a:noFill/>
                      </a:ln>
                    </wps:spPr>
                    <wps:txbx>
                      <w:txbxContent>
                        <w:p>
                          <w:pPr>
                            <w:spacing w:line="319" w:lineRule="exact"/>
                            <w:ind w:left="20"/>
                            <w:jc w:val="left"/>
                          </w:pPr>
                          <w:r>
                            <w:rPr>
                              <w:rFonts w:hint="eastAsia"/>
                            </w:rPr>
                            <w:t>招标</w:t>
                          </w:r>
                          <w:r>
                            <w:t>文件</w:t>
                          </w:r>
                        </w:p>
                      </w:txbxContent>
                    </wps:txbx>
                    <wps:bodyPr lIns="0" tIns="0" rIns="0" bIns="0" upright="1"/>
                  </wps:wsp>
                </a:graphicData>
              </a:graphic>
            </wp:anchor>
          </w:drawing>
        </mc:Choice>
        <mc:Fallback>
          <w:pict>
            <v:shape id="_x0000_s1026" o:spid="_x0000_s1026" o:spt="202" type="#_x0000_t202" style="position:absolute;left:0pt;margin-left:69.9pt;margin-top:29.3pt;height:15.95pt;width:44.15pt;mso-position-horizontal-relative:page;mso-position-vertical-relative:page;z-index:-251656192;mso-width-relative:page;mso-height-relative:page;" filled="f" stroked="f" coordsize="21600,21600" o:gfxdata="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F3cFFtgAAAAJAQAADwAAAAAAAAABACAAAAAiAAAAZHJzL2Rvd25yZXYueG1sUEsBAhQA&#10;FAAAAAgAh07iQLj6UIe5AQAAcQMAAA4AAAAAAAAAAQAgAAAAJwEAAGRycy9lMm9Eb2MueG1sUEsF&#10;BgAAAAAGAAYAWQEAAFIFAAAAAA==&#10;">
              <v:fill on="f" focussize="0,0"/>
              <v:stroke on="f"/>
              <v:imagedata o:title=""/>
              <o:lock v:ext="edit" aspectratio="f"/>
              <v:textbox inset="0mm,0mm,0mm,0mm">
                <w:txbxContent>
                  <w:p>
                    <w:pPr>
                      <w:spacing w:line="319" w:lineRule="exact"/>
                      <w:ind w:left="20"/>
                      <w:jc w:val="left"/>
                    </w:pPr>
                    <w:r>
                      <w:rPr>
                        <w:rFonts w:hint="eastAsia"/>
                      </w:rPr>
                      <w:t>招标</w:t>
                    </w:r>
                    <w:r>
                      <w:t>文件</w:t>
                    </w:r>
                  </w:p>
                </w:txbxContent>
              </v:textbox>
            </v:shape>
          </w:pict>
        </mc:Fallback>
      </mc:AlternateContent>
    </w:r>
    <w:r>
      <mc:AlternateContent>
        <mc:Choice Requires="wps">
          <w:drawing>
            <wp:anchor distT="0" distB="0" distL="114300" distR="114300" simplePos="0" relativeHeight="251661312" behindDoc="1" locked="0" layoutInCell="1" allowOverlap="1">
              <wp:simplePos x="0" y="0"/>
              <wp:positionH relativeFrom="page">
                <wp:posOffset>5956300</wp:posOffset>
              </wp:positionH>
              <wp:positionV relativeFrom="page">
                <wp:posOffset>372110</wp:posOffset>
              </wp:positionV>
              <wp:extent cx="559435" cy="202565"/>
              <wp:effectExtent l="0" t="0" r="0" b="0"/>
              <wp:wrapNone/>
              <wp:docPr id="3" name="文本框 3"/>
              <wp:cNvGraphicFramePr/>
              <a:graphic xmlns:a="http://schemas.openxmlformats.org/drawingml/2006/main">
                <a:graphicData uri="http://schemas.microsoft.com/office/word/2010/wordprocessingShape">
                  <wps:wsp>
                    <wps:cNvSpPr txBox="1"/>
                    <wps:spPr>
                      <a:xfrm>
                        <a:off x="0" y="0"/>
                        <a:ext cx="559435" cy="202565"/>
                      </a:xfrm>
                      <a:prstGeom prst="rect">
                        <a:avLst/>
                      </a:prstGeom>
                      <a:noFill/>
                      <a:ln>
                        <a:noFill/>
                      </a:ln>
                    </wps:spPr>
                    <wps:txbx>
                      <w:txbxContent>
                        <w:p>
                          <w:pPr>
                            <w:spacing w:line="319" w:lineRule="exact"/>
                            <w:ind w:left="20"/>
                            <w:jc w:val="left"/>
                          </w:pPr>
                          <w:r>
                            <w:t>合同样本</w:t>
                          </w:r>
                        </w:p>
                      </w:txbxContent>
                    </wps:txbx>
                    <wps:bodyPr lIns="0" tIns="0" rIns="0" bIns="0" upright="1"/>
                  </wps:wsp>
                </a:graphicData>
              </a:graphic>
            </wp:anchor>
          </w:drawing>
        </mc:Choice>
        <mc:Fallback>
          <w:pict>
            <v:shape id="_x0000_s1026" o:spid="_x0000_s1026" o:spt="202" type="#_x0000_t202" style="position:absolute;left:0pt;margin-left:469pt;margin-top:29.3pt;height:15.95pt;width:44.05pt;mso-position-horizontal-relative:page;mso-position-vertical-relative:page;z-index:-251655168;mso-width-relative:page;mso-height-relative:page;" filled="f" stroked="f" coordsize="21600,21600" o:gfxdata="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pFq1R2QAAAAoBAAAPAAAAAAAAAAEAIAAAACIAAABkcnMvZG93bnJldi54bWxQSwEC&#10;FAAUAAAACACHTuJA0PhdbboBAABxAwAADgAAAAAAAAABACAAAAAoAQAAZHJzL2Uyb0RvYy54bWxQ&#10;SwUGAAAAAAYABgBZAQAAVAUAAAAA&#10;">
              <v:fill on="f" focussize="0,0"/>
              <v:stroke on="f"/>
              <v:imagedata o:title=""/>
              <o:lock v:ext="edit" aspectratio="f"/>
              <v:textbox inset="0mm,0mm,0mm,0mm">
                <w:txbxContent>
                  <w:p>
                    <w:pPr>
                      <w:spacing w:line="319" w:lineRule="exact"/>
                      <w:ind w:left="20"/>
                      <w:jc w:val="left"/>
                    </w:pPr>
                    <w:r>
                      <w:t>合同样本</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C52778"/>
    <w:multiLevelType w:val="multilevel"/>
    <w:tmpl w:val="46C52778"/>
    <w:lvl w:ilvl="0" w:tentative="0">
      <w:start w:val="1"/>
      <w:numFmt w:val="decimal"/>
      <w:lvlText w:val="%1."/>
      <w:lvlJc w:val="left"/>
      <w:pPr>
        <w:ind w:left="1320" w:hanging="360"/>
      </w:pPr>
      <w:rPr>
        <w:rFonts w:hint="default"/>
      </w:rPr>
    </w:lvl>
    <w:lvl w:ilvl="1" w:tentative="0">
      <w:start w:val="1"/>
      <w:numFmt w:val="lowerLetter"/>
      <w:lvlText w:val="%2)"/>
      <w:lvlJc w:val="left"/>
      <w:pPr>
        <w:ind w:left="1800" w:hanging="420"/>
      </w:pPr>
    </w:lvl>
    <w:lvl w:ilvl="2" w:tentative="0">
      <w:start w:val="1"/>
      <w:numFmt w:val="lowerRoman"/>
      <w:lvlText w:val="%3."/>
      <w:lvlJc w:val="right"/>
      <w:pPr>
        <w:ind w:left="2220" w:hanging="420"/>
      </w:pPr>
    </w:lvl>
    <w:lvl w:ilvl="3" w:tentative="0">
      <w:start w:val="1"/>
      <w:numFmt w:val="decimal"/>
      <w:lvlText w:val="%4."/>
      <w:lvlJc w:val="left"/>
      <w:pPr>
        <w:ind w:left="2640" w:hanging="420"/>
      </w:pPr>
    </w:lvl>
    <w:lvl w:ilvl="4" w:tentative="0">
      <w:start w:val="1"/>
      <w:numFmt w:val="lowerLetter"/>
      <w:lvlText w:val="%5)"/>
      <w:lvlJc w:val="left"/>
      <w:pPr>
        <w:ind w:left="3060" w:hanging="420"/>
      </w:pPr>
    </w:lvl>
    <w:lvl w:ilvl="5" w:tentative="0">
      <w:start w:val="1"/>
      <w:numFmt w:val="lowerRoman"/>
      <w:lvlText w:val="%6."/>
      <w:lvlJc w:val="right"/>
      <w:pPr>
        <w:ind w:left="3480" w:hanging="420"/>
      </w:pPr>
    </w:lvl>
    <w:lvl w:ilvl="6" w:tentative="0">
      <w:start w:val="1"/>
      <w:numFmt w:val="decimal"/>
      <w:lvlText w:val="%7."/>
      <w:lvlJc w:val="left"/>
      <w:pPr>
        <w:ind w:left="3900" w:hanging="420"/>
      </w:pPr>
    </w:lvl>
    <w:lvl w:ilvl="7" w:tentative="0">
      <w:start w:val="1"/>
      <w:numFmt w:val="lowerLetter"/>
      <w:lvlText w:val="%8)"/>
      <w:lvlJc w:val="left"/>
      <w:pPr>
        <w:ind w:left="4320" w:hanging="420"/>
      </w:pPr>
    </w:lvl>
    <w:lvl w:ilvl="8" w:tentative="0">
      <w:start w:val="1"/>
      <w:numFmt w:val="lowerRoman"/>
      <w:lvlText w:val="%9."/>
      <w:lvlJc w:val="right"/>
      <w:pPr>
        <w:ind w:left="47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4638A7"/>
    <w:rsid w:val="042711E9"/>
    <w:rsid w:val="04B9724B"/>
    <w:rsid w:val="0872092E"/>
    <w:rsid w:val="14A26D8F"/>
    <w:rsid w:val="203D56BA"/>
    <w:rsid w:val="37214F00"/>
    <w:rsid w:val="394D2B6F"/>
    <w:rsid w:val="4B7E2B6C"/>
    <w:rsid w:val="5D9D153B"/>
    <w:rsid w:val="656F61B5"/>
    <w:rsid w:val="66A16A95"/>
    <w:rsid w:val="6DA01CBF"/>
    <w:rsid w:val="70F013FA"/>
    <w:rsid w:val="71F4514F"/>
    <w:rsid w:val="774638A7"/>
    <w:rsid w:val="7E3A476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2"/>
    <w:basedOn w:val="1"/>
    <w:next w:val="1"/>
    <w:unhideWhenUsed/>
    <w:qFormat/>
    <w:uiPriority w:val="9"/>
    <w:pPr>
      <w:outlineLvl w:val="1"/>
    </w:pPr>
    <w:rPr>
      <w:rFonts w:ascii="Times New Roman" w:hAnsi="Times New Roman"/>
      <w:b/>
      <w:szCs w:val="52"/>
    </w:rPr>
  </w:style>
  <w:style w:type="paragraph" w:styleId="5">
    <w:name w:val="heading 3"/>
    <w:basedOn w:val="1"/>
    <w:next w:val="6"/>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99"/>
    <w:pPr>
      <w:spacing w:after="120"/>
      <w:ind w:firstLine="0"/>
      <w:contextualSpacing/>
    </w:pPr>
    <w:rPr>
      <w:rFonts w:ascii="仿宋" w:hAnsi="仿宋" w:eastAsia="仿宋" w:cs="宋体"/>
      <w:kern w:val="0"/>
      <w:sz w:val="21"/>
      <w:szCs w:val="21"/>
    </w:rPr>
  </w:style>
  <w:style w:type="paragraph" w:styleId="3">
    <w:name w:val="Body Text Indent"/>
    <w:basedOn w:val="1"/>
    <w:qFormat/>
    <w:uiPriority w:val="0"/>
    <w:pPr>
      <w:spacing w:line="360" w:lineRule="auto"/>
      <w:ind w:firstLine="570"/>
    </w:pPr>
    <w:rPr>
      <w:sz w:val="24"/>
    </w:rPr>
  </w:style>
  <w:style w:type="paragraph" w:styleId="6">
    <w:name w:val="Normal Indent"/>
    <w:basedOn w:val="1"/>
    <w:qFormat/>
    <w:uiPriority w:val="0"/>
    <w:pPr>
      <w:autoSpaceDE w:val="0"/>
      <w:autoSpaceDN w:val="0"/>
      <w:adjustRightInd w:val="0"/>
      <w:ind w:firstLine="420"/>
      <w:jc w:val="left"/>
    </w:pPr>
    <w:rPr>
      <w:rFonts w:ascii="宋体"/>
      <w:sz w:val="24"/>
    </w:rPr>
  </w:style>
  <w:style w:type="paragraph" w:styleId="7">
    <w:name w:val="annotation text"/>
    <w:basedOn w:val="1"/>
    <w:qFormat/>
    <w:uiPriority w:val="99"/>
    <w:pPr>
      <w:jc w:val="left"/>
    </w:pPr>
  </w:style>
  <w:style w:type="paragraph" w:styleId="8">
    <w:name w:val="Body Text"/>
    <w:basedOn w:val="1"/>
    <w:qFormat/>
    <w:uiPriority w:val="99"/>
    <w:pPr>
      <w:tabs>
        <w:tab w:val="left" w:pos="567"/>
      </w:tabs>
      <w:spacing w:before="120" w:line="22" w:lineRule="atLeast"/>
    </w:pPr>
    <w:rPr>
      <w:rFonts w:ascii="宋体" w:hAnsi="宋体"/>
      <w:sz w:val="24"/>
    </w:rPr>
  </w:style>
  <w:style w:type="paragraph" w:styleId="9">
    <w:name w:val="Plain Text"/>
    <w:basedOn w:val="1"/>
    <w:qFormat/>
    <w:uiPriority w:val="0"/>
    <w:rPr>
      <w:rFonts w:hint="eastAsia" w:ascii="宋体" w:hAnsi="Courier New"/>
      <w:szCs w:val="20"/>
    </w:rPr>
  </w:style>
  <w:style w:type="paragraph" w:styleId="10">
    <w:name w:val="footer"/>
    <w:basedOn w:val="1"/>
    <w:unhideWhenUsed/>
    <w:qFormat/>
    <w:uiPriority w:val="0"/>
    <w:pPr>
      <w:tabs>
        <w:tab w:val="center" w:pos="4153"/>
        <w:tab w:val="right" w:pos="8306"/>
      </w:tabs>
      <w:snapToGrid w:val="0"/>
      <w:jc w:val="left"/>
    </w:pPr>
    <w:rPr>
      <w:sz w:val="18"/>
      <w:szCs w:val="18"/>
    </w:rPr>
  </w:style>
  <w:style w:type="paragraph" w:styleId="11">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2">
    <w:name w:val="toc 2"/>
    <w:basedOn w:val="1"/>
    <w:next w:val="1"/>
    <w:qFormat/>
    <w:uiPriority w:val="39"/>
    <w:pPr>
      <w:tabs>
        <w:tab w:val="right" w:leader="dot" w:pos="8937"/>
      </w:tabs>
      <w:spacing w:line="312" w:lineRule="auto"/>
      <w:ind w:left="420" w:leftChars="200"/>
    </w:pPr>
  </w:style>
  <w:style w:type="paragraph" w:styleId="13">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table" w:styleId="15">
    <w:name w:val="Table Grid"/>
    <w:basedOn w:val="1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qFormat/>
    <w:uiPriority w:val="0"/>
  </w:style>
  <w:style w:type="character" w:styleId="18">
    <w:name w:val="annotation reference"/>
    <w:basedOn w:val="16"/>
    <w:qFormat/>
    <w:uiPriority w:val="99"/>
    <w:rPr>
      <w:sz w:val="21"/>
      <w:szCs w:val="21"/>
    </w:rPr>
  </w:style>
  <w:style w:type="paragraph" w:customStyle="1" w:styleId="19">
    <w:name w:val="SOW正文"/>
    <w:basedOn w:val="1"/>
    <w:qFormat/>
    <w:uiPriority w:val="0"/>
    <w:pPr>
      <w:snapToGrid w:val="0"/>
      <w:spacing w:before="120" w:line="400" w:lineRule="exact"/>
      <w:ind w:firstLine="425"/>
    </w:pPr>
    <w:rPr>
      <w:rFonts w:ascii="Times New Roman" w:hAnsi="Times New Roman"/>
      <w:sz w:val="24"/>
      <w:szCs w:val="20"/>
    </w:rPr>
  </w:style>
  <w:style w:type="paragraph" w:styleId="20">
    <w:name w:val="List Paragraph"/>
    <w:basedOn w:val="1"/>
    <w:qFormat/>
    <w:uiPriority w:val="34"/>
    <w:pPr>
      <w:ind w:firstLine="420" w:firstLineChars="200"/>
    </w:pPr>
    <w:rPr>
      <w:rFonts w:cs="Times New Roman"/>
      <w:szCs w:val="22"/>
    </w:rPr>
  </w:style>
  <w:style w:type="table" w:customStyle="1" w:styleId="21">
    <w:name w:val="网格型1"/>
    <w:basedOn w:val="14"/>
    <w:qFormat/>
    <w:uiPriority w:val="59"/>
    <w:pPr>
      <w:widowControl/>
      <w:autoSpaceDE/>
      <w:autoSpaceDN/>
    </w:pPr>
    <w:rPr>
      <w:kern w:val="2"/>
      <w:sz w:val="21"/>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2">
    <w:name w:val="_Style 2"/>
    <w:basedOn w:val="1"/>
    <w:qFormat/>
    <w:uiPriority w:val="99"/>
    <w:pPr>
      <w:autoSpaceDE/>
      <w:autoSpaceDN/>
      <w:spacing w:line="240" w:lineRule="auto"/>
      <w:ind w:firstLine="420" w:firstLineChars="200"/>
      <w:jc w:val="both"/>
    </w:pPr>
    <w:rPr>
      <w:rFonts w:ascii="Calibri" w:hAnsi="Calibri" w:cs="Calibri"/>
      <w:kern w:val="2"/>
      <w:sz w:val="21"/>
      <w:szCs w:val="21"/>
    </w:rPr>
  </w:style>
  <w:style w:type="paragraph" w:customStyle="1" w:styleId="23">
    <w:name w:val="列出段落1"/>
    <w:basedOn w:val="1"/>
    <w:qFormat/>
    <w:uiPriority w:val="99"/>
    <w:pPr>
      <w:autoSpaceDE/>
      <w:autoSpaceDN/>
      <w:spacing w:line="240" w:lineRule="auto"/>
      <w:ind w:firstLine="420" w:firstLineChars="200"/>
      <w:jc w:val="both"/>
    </w:pPr>
    <w:rPr>
      <w:rFonts w:ascii="Calibri" w:hAnsi="Calibri" w:cs="Calibri"/>
      <w:kern w:val="2"/>
      <w:sz w:val="21"/>
      <w:szCs w:val="21"/>
    </w:rPr>
  </w:style>
  <w:style w:type="paragraph" w:customStyle="1" w:styleId="24">
    <w:name w:val="标准正文"/>
    <w:basedOn w:val="3"/>
    <w:qFormat/>
    <w:uiPriority w:val="0"/>
    <w:pPr>
      <w:spacing w:before="60" w:after="60"/>
      <w:ind w:firstLine="482"/>
    </w:pPr>
    <w:rPr>
      <w:kern w:val="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2024-07-31T00:37:00Z</dcterms:created>
  <dc:creator>张雅希</dc:creator>
  <cp:lastModifiedBy>张雅希</cp:lastModifiedBy>
  <dcterms:modified xsi:type="dcterms:W3CDTF">2026-02-09T06:08:50Z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F2C453F9BA9145D09F394B65CD248215</vt:lpwstr>
  </property>
</Properties>
</file>