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儿童发育与健康生物分子分析检测研究平台设备        项目采购需求</w:t>
      </w:r>
    </w:p>
    <w:p>
      <w:pPr>
        <w:pStyle w:val="2"/>
        <w:autoSpaceDE/>
        <w:autoSpaceDN/>
      </w:pPr>
      <w:r>
        <w:t>一、项目基本情况</w:t>
      </w:r>
    </w:p>
    <w:p>
      <w:pPr>
        <w:pStyle w:val="6"/>
        <w:autoSpaceDE/>
        <w:autoSpaceDN/>
        <w:ind w:firstLine="480" w:firstLineChars="200"/>
      </w:pPr>
      <w:r>
        <w:rPr>
          <w:rFonts w:hint="eastAsia"/>
        </w:rPr>
        <w:t>1</w:t>
      </w:r>
      <w:r>
        <w:t>. 项目编号：</w:t>
      </w:r>
      <w:r>
        <w:rPr>
          <w:rFonts w:hint="eastAsia"/>
          <w:u w:val="single"/>
        </w:rPr>
        <w:t>0733-25114374</w:t>
      </w:r>
    </w:p>
    <w:p>
      <w:pPr>
        <w:pStyle w:val="6"/>
        <w:autoSpaceDE/>
        <w:autoSpaceDN/>
        <w:ind w:firstLine="480" w:firstLineChars="200"/>
      </w:pPr>
      <w:r>
        <w:rPr>
          <w:rFonts w:hint="eastAsia"/>
        </w:rPr>
        <w:t>2</w:t>
      </w:r>
      <w:r>
        <w:t>. 项目名称：</w:t>
      </w:r>
      <w:r>
        <w:rPr>
          <w:u w:val="single"/>
        </w:rPr>
        <w:t>儿童发育与健康生物分子分析检测研究平台设备</w:t>
      </w:r>
    </w:p>
    <w:p>
      <w:pPr>
        <w:pStyle w:val="6"/>
        <w:autoSpaceDE/>
        <w:autoSpaceDN/>
        <w:ind w:firstLine="480" w:firstLineChars="200"/>
      </w:pPr>
      <w:r>
        <w:rPr>
          <w:rFonts w:hint="eastAsia"/>
        </w:rPr>
        <w:t>3</w:t>
      </w:r>
      <w:r>
        <w:t>. 项目预算金额：</w:t>
      </w:r>
      <w:r>
        <w:rPr>
          <w:rFonts w:hint="eastAsia"/>
          <w:u w:val="single"/>
        </w:rPr>
        <w:t>544</w:t>
      </w:r>
      <w:r>
        <w:t>万元、项目最高限价（如有）：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/ </w:t>
      </w:r>
      <w:r>
        <w:t>万元</w:t>
      </w:r>
    </w:p>
    <w:p>
      <w:pPr>
        <w:pStyle w:val="6"/>
        <w:autoSpaceDE/>
        <w:autoSpaceDN/>
        <w:ind w:firstLine="480" w:firstLineChars="200"/>
      </w:pPr>
      <w:r>
        <w:rPr>
          <w:rFonts w:hint="eastAsia"/>
        </w:rPr>
        <w:t>4</w:t>
      </w:r>
      <w:r>
        <w:t>. 采购需求：</w:t>
      </w:r>
    </w:p>
    <w:tbl>
      <w:tblPr>
        <w:tblStyle w:val="21"/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74"/>
        <w:gridCol w:w="2694"/>
        <w:gridCol w:w="850"/>
        <w:gridCol w:w="992"/>
        <w:gridCol w:w="993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包号</w:t>
            </w:r>
          </w:p>
        </w:tc>
        <w:tc>
          <w:tcPr>
            <w:tcW w:w="57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品目</w:t>
            </w:r>
          </w:p>
        </w:tc>
        <w:tc>
          <w:tcPr>
            <w:tcW w:w="269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标的名称</w:t>
            </w:r>
          </w:p>
        </w:tc>
        <w:tc>
          <w:tcPr>
            <w:tcW w:w="850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数量（台/套）</w:t>
            </w:r>
          </w:p>
        </w:tc>
        <w:tc>
          <w:tcPr>
            <w:tcW w:w="99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采购包预算金额（万元）</w:t>
            </w:r>
          </w:p>
        </w:tc>
        <w:tc>
          <w:tcPr>
            <w:tcW w:w="993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是否允许进口产品投标</w:t>
            </w:r>
          </w:p>
        </w:tc>
        <w:tc>
          <w:tcPr>
            <w:tcW w:w="2976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简要技术需求或服务要求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1</w:t>
            </w:r>
          </w:p>
        </w:tc>
        <w:tc>
          <w:tcPr>
            <w:tcW w:w="57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1-1</w:t>
            </w:r>
          </w:p>
        </w:tc>
        <w:tc>
          <w:tcPr>
            <w:tcW w:w="269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全自动数字PCR仪</w:t>
            </w:r>
          </w:p>
        </w:tc>
        <w:tc>
          <w:tcPr>
            <w:tcW w:w="850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60</w:t>
            </w:r>
          </w:p>
        </w:tc>
        <w:tc>
          <w:tcPr>
            <w:tcW w:w="993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否</w:t>
            </w:r>
          </w:p>
        </w:tc>
        <w:tc>
          <w:tcPr>
            <w:tcW w:w="2976" w:type="dxa"/>
            <w:vAlign w:val="center"/>
          </w:tcPr>
          <w:p>
            <w:pPr>
              <w:autoSpaceDE/>
              <w:autoSpaceDN/>
              <w:spacing w:line="240" w:lineRule="auto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用于拷贝数变异、稀有突变检测、基因相对表达研究、二代测序结果验证、微生物鉴定检出、二代测序靶向建库等</w:t>
            </w:r>
            <w:r>
              <w:rPr>
                <w:rFonts w:hint="eastAsia" w:ascii="Times New Roman" w:hAnsi="Times New Roman"/>
                <w:bCs/>
                <w:snapToGrid w:val="0"/>
                <w:kern w:val="2"/>
                <w:szCs w:val="24"/>
              </w:rPr>
              <w:t>；具体</w:t>
            </w:r>
            <w:r>
              <w:rPr>
                <w:rFonts w:ascii="Times New Roman" w:hAnsi="Times New Roman"/>
                <w:bCs/>
                <w:snapToGrid w:val="0"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napToGrid w:val="0"/>
                <w:kern w:val="2"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2-1</w:t>
            </w:r>
          </w:p>
        </w:tc>
        <w:tc>
          <w:tcPr>
            <w:tcW w:w="269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多模式动物活体成像系统</w:t>
            </w:r>
          </w:p>
        </w:tc>
        <w:tc>
          <w:tcPr>
            <w:tcW w:w="850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139</w:t>
            </w:r>
          </w:p>
        </w:tc>
        <w:tc>
          <w:tcPr>
            <w:tcW w:w="993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否</w:t>
            </w:r>
          </w:p>
        </w:tc>
        <w:tc>
          <w:tcPr>
            <w:tcW w:w="2976" w:type="dxa"/>
            <w:vAlign w:val="center"/>
          </w:tcPr>
          <w:p>
            <w:pPr>
              <w:autoSpaceDE/>
              <w:autoSpaceDN/>
              <w:spacing w:line="240" w:lineRule="auto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适用于荧光素酶标记的肿瘤学基础研究、报告基因表达成像、基因治疗以及药物筛选、药效与剂量评价</w:t>
            </w:r>
            <w:r>
              <w:rPr>
                <w:rFonts w:hint="eastAsia" w:ascii="Times New Roman" w:hAnsi="Times New Roman"/>
                <w:bCs/>
                <w:snapToGrid w:val="0"/>
                <w:kern w:val="2"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snapToGrid w:val="0"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napToGrid w:val="0"/>
                <w:kern w:val="2"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3</w:t>
            </w:r>
          </w:p>
        </w:tc>
        <w:tc>
          <w:tcPr>
            <w:tcW w:w="57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3-1</w:t>
            </w:r>
          </w:p>
        </w:tc>
        <w:tc>
          <w:tcPr>
            <w:tcW w:w="269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气相色谱-质谱仪</w:t>
            </w:r>
          </w:p>
        </w:tc>
        <w:tc>
          <w:tcPr>
            <w:tcW w:w="850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110</w:t>
            </w:r>
          </w:p>
        </w:tc>
        <w:tc>
          <w:tcPr>
            <w:tcW w:w="993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否</w:t>
            </w:r>
          </w:p>
        </w:tc>
        <w:tc>
          <w:tcPr>
            <w:tcW w:w="2976" w:type="dxa"/>
            <w:vAlign w:val="center"/>
          </w:tcPr>
          <w:p>
            <w:pPr>
              <w:autoSpaceDE/>
              <w:autoSpaceDN/>
              <w:spacing w:line="240" w:lineRule="auto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同于溶剂残留、有机污染物及其它物质痕量的定性和定量分析</w:t>
            </w:r>
            <w:r>
              <w:rPr>
                <w:rFonts w:hint="eastAsia" w:ascii="Times New Roman" w:hAnsi="Times New Roman"/>
                <w:bCs/>
                <w:snapToGrid w:val="0"/>
                <w:kern w:val="2"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snapToGrid w:val="0"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napToGrid w:val="0"/>
                <w:kern w:val="2"/>
                <w:szCs w:val="24"/>
              </w:rPr>
              <w:t>详见招标文件。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555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4</w:t>
            </w:r>
          </w:p>
        </w:tc>
        <w:tc>
          <w:tcPr>
            <w:tcW w:w="57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4-1</w:t>
            </w:r>
          </w:p>
        </w:tc>
        <w:tc>
          <w:tcPr>
            <w:tcW w:w="269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核酸质谱分析系统</w:t>
            </w:r>
          </w:p>
        </w:tc>
        <w:tc>
          <w:tcPr>
            <w:tcW w:w="850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235</w:t>
            </w:r>
          </w:p>
        </w:tc>
        <w:tc>
          <w:tcPr>
            <w:tcW w:w="993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否</w:t>
            </w:r>
          </w:p>
        </w:tc>
        <w:tc>
          <w:tcPr>
            <w:tcW w:w="2976" w:type="dxa"/>
            <w:vAlign w:val="center"/>
          </w:tcPr>
          <w:p>
            <w:pPr>
              <w:autoSpaceDE/>
              <w:autoSpaceDN/>
              <w:spacing w:line="240" w:lineRule="auto"/>
              <w:rPr>
                <w:rFonts w:ascii="Times New Roman" w:hAnsi="Times New Roman"/>
                <w:bCs/>
                <w:kern w:val="2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进行基因分型、体细胞突变和低频率检测和基因组DNA甲基化分析</w:t>
            </w:r>
            <w:r>
              <w:rPr>
                <w:rFonts w:hint="eastAsia" w:ascii="Times New Roman" w:hAnsi="Times New Roman"/>
                <w:bCs/>
                <w:snapToGrid w:val="0"/>
                <w:kern w:val="2"/>
                <w:szCs w:val="24"/>
              </w:rPr>
              <w:t>等；具体</w:t>
            </w:r>
            <w:r>
              <w:rPr>
                <w:rFonts w:ascii="Times New Roman" w:hAnsi="Times New Roman"/>
                <w:bCs/>
                <w:snapToGrid w:val="0"/>
                <w:kern w:val="2"/>
                <w:szCs w:val="24"/>
              </w:rPr>
              <w:t>技术需求或服务要求</w:t>
            </w:r>
            <w:r>
              <w:rPr>
                <w:rFonts w:hint="eastAsia" w:ascii="Times New Roman" w:hAnsi="Times New Roman"/>
                <w:bCs/>
                <w:snapToGrid w:val="0"/>
                <w:kern w:val="2"/>
                <w:szCs w:val="24"/>
              </w:rPr>
              <w:t>详见招标文件。</w:t>
            </w:r>
          </w:p>
        </w:tc>
      </w:tr>
    </w:tbl>
    <w:p>
      <w:pPr>
        <w:pStyle w:val="6"/>
        <w:autoSpaceDE/>
        <w:autoSpaceDN/>
        <w:ind w:firstLine="480" w:firstLineChars="200"/>
      </w:pPr>
      <w:r>
        <w:rPr>
          <w:rFonts w:hint="eastAsia"/>
        </w:rPr>
        <w:t>5</w:t>
      </w:r>
      <w:r>
        <w:t>. 合同履行期限：</w:t>
      </w:r>
      <w:r>
        <w:rPr>
          <w:rFonts w:hint="eastAsia"/>
          <w:snapToGrid w:val="0"/>
          <w:kern w:val="2"/>
        </w:rPr>
        <w:t>签订合同后30日内到货。</w:t>
      </w:r>
    </w:p>
    <w:p>
      <w:pPr>
        <w:pStyle w:val="6"/>
        <w:autoSpaceDE/>
        <w:autoSpaceDN/>
        <w:ind w:firstLine="480" w:firstLineChars="200"/>
      </w:pPr>
      <w:r>
        <w:rPr>
          <w:rFonts w:hint="eastAsia"/>
        </w:rPr>
        <w:t>6</w:t>
      </w:r>
      <w:r>
        <w:t>. 本项目是否接受联合体投标：□是 ■否。</w:t>
      </w:r>
    </w:p>
    <w:p>
      <w:pPr>
        <w:tabs>
          <w:tab w:val="left" w:pos="1050"/>
        </w:tabs>
        <w:autoSpaceDE/>
        <w:autoSpaceDN/>
        <w:spacing w:before="161"/>
        <w:rPr>
          <w:rFonts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hint="eastAsia" w:ascii="Times New Roman" w:hAnsi="Times New Roman"/>
        </w:rPr>
        <w:t>需求一览表</w:t>
      </w:r>
    </w:p>
    <w:tbl>
      <w:tblPr>
        <w:tblStyle w:val="13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2692"/>
        <w:gridCol w:w="1701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包号</w:t>
            </w:r>
          </w:p>
        </w:tc>
        <w:tc>
          <w:tcPr>
            <w:tcW w:w="709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品目</w:t>
            </w:r>
          </w:p>
        </w:tc>
        <w:tc>
          <w:tcPr>
            <w:tcW w:w="269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标的名称</w:t>
            </w: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数量</w:t>
            </w:r>
          </w:p>
        </w:tc>
        <w:tc>
          <w:tcPr>
            <w:tcW w:w="274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是否接受进口产品投标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1-1</w:t>
            </w:r>
          </w:p>
        </w:tc>
        <w:tc>
          <w:tcPr>
            <w:tcW w:w="269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全自动数字PCR仪</w:t>
            </w: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详见投标邀请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2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2-1</w:t>
            </w:r>
          </w:p>
        </w:tc>
        <w:tc>
          <w:tcPr>
            <w:tcW w:w="269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多模式动物活体成像系统</w:t>
            </w: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详见投标邀请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3-1</w:t>
            </w:r>
          </w:p>
        </w:tc>
        <w:tc>
          <w:tcPr>
            <w:tcW w:w="269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气相色谱-质谱仪</w:t>
            </w: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详见投标邀请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0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4-1</w:t>
            </w:r>
          </w:p>
        </w:tc>
        <w:tc>
          <w:tcPr>
            <w:tcW w:w="269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bookmarkStart w:id="0" w:name="OLE_LINK17"/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核酸质谱分析系统</w:t>
            </w:r>
            <w:bookmarkEnd w:id="0"/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kern w:val="2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详见投标邀请</w:t>
            </w:r>
          </w:p>
        </w:tc>
      </w:tr>
    </w:tbl>
    <w:p>
      <w:pPr>
        <w:pStyle w:val="6"/>
        <w:autoSpaceDE/>
        <w:autoSpaceDN/>
        <w:ind w:left="298" w:right="290"/>
        <w:rPr>
          <w:sz w:val="28"/>
        </w:rPr>
      </w:pPr>
    </w:p>
    <w:p>
      <w:pPr>
        <w:pStyle w:val="2"/>
        <w:autoSpaceDE/>
        <w:autoSpaceDN/>
        <w:jc w:val="center"/>
      </w:pPr>
      <w:r>
        <w:rPr>
          <w:rFonts w:hint="eastAsia"/>
        </w:rPr>
        <w:t>二、</w:t>
      </w:r>
      <w:r>
        <w:t>商务要求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1. 交货期和交货地点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1.1交货期：详见投标邀请合同履行期限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1.2交货地点：采购人指定地点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. 包装和运输（如适用，须满足《关于印发〈商品包装政府采购需求标准（试行）〉、〈快递包装政府采购需求标准（试行）〉的通知》（财办库﹝2020﹞123 号））</w:t>
      </w:r>
    </w:p>
    <w:p>
      <w:pPr>
        <w:pStyle w:val="6"/>
        <w:autoSpaceDE/>
        <w:autoSpaceDN/>
        <w:ind w:right="290"/>
      </w:pPr>
    </w:p>
    <w:p>
      <w:pPr>
        <w:pStyle w:val="2"/>
        <w:autoSpaceDE/>
        <w:autoSpaceDN/>
        <w:jc w:val="center"/>
      </w:pPr>
      <w:r>
        <w:t>三、技术要求</w:t>
      </w:r>
    </w:p>
    <w:p>
      <w:pPr>
        <w:autoSpaceDE/>
        <w:autoSpaceDN/>
        <w:ind w:firstLine="420" w:firstLineChars="20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以下技术指标及要求中如出现设备</w:t>
      </w:r>
      <w:r>
        <w:rPr>
          <w:rFonts w:hint="eastAsia" w:ascii="Times New Roman" w:hAnsi="Times New Roman"/>
          <w:bCs/>
        </w:rPr>
        <w:t>或产品</w:t>
      </w:r>
      <w:r>
        <w:rPr>
          <w:rFonts w:ascii="Times New Roman" w:hAnsi="Times New Roman"/>
          <w:bCs/>
        </w:rPr>
        <w:t>品牌</w:t>
      </w:r>
      <w:r>
        <w:rPr>
          <w:rFonts w:hint="eastAsia" w:ascii="Times New Roman" w:hAnsi="Times New Roman"/>
          <w:bCs/>
        </w:rPr>
        <w:t>或指向某个品牌</w:t>
      </w:r>
      <w:r>
        <w:rPr>
          <w:rFonts w:ascii="Times New Roman" w:hAnsi="Times New Roman"/>
          <w:bCs/>
        </w:rPr>
        <w:t>，仅作为参考该设备</w:t>
      </w:r>
      <w:r>
        <w:rPr>
          <w:rFonts w:hint="eastAsia" w:ascii="Times New Roman" w:hAnsi="Times New Roman"/>
          <w:bCs/>
        </w:rPr>
        <w:t>或产品</w:t>
      </w:r>
      <w:r>
        <w:rPr>
          <w:rFonts w:ascii="Times New Roman" w:hAnsi="Times New Roman"/>
          <w:bCs/>
        </w:rPr>
        <w:t>所需达到的具体技术</w:t>
      </w:r>
      <w:r>
        <w:rPr>
          <w:rFonts w:hint="eastAsia" w:ascii="Times New Roman" w:hAnsi="Times New Roman"/>
          <w:bCs/>
        </w:rPr>
        <w:t>性能</w:t>
      </w:r>
      <w:r>
        <w:rPr>
          <w:rFonts w:ascii="Times New Roman" w:hAnsi="Times New Roman"/>
          <w:bCs/>
        </w:rPr>
        <w:t>要求，不作为该设备</w:t>
      </w:r>
      <w:r>
        <w:rPr>
          <w:rFonts w:hint="eastAsia" w:ascii="Times New Roman" w:hAnsi="Times New Roman"/>
          <w:bCs/>
        </w:rPr>
        <w:t>或产品</w:t>
      </w:r>
      <w:r>
        <w:rPr>
          <w:rFonts w:ascii="Times New Roman" w:hAnsi="Times New Roman"/>
          <w:bCs/>
        </w:rPr>
        <w:t>的品牌要求。</w:t>
      </w:r>
    </w:p>
    <w:p>
      <w:pPr>
        <w:autoSpaceDE/>
        <w:autoSpaceDN/>
        <w:ind w:firstLine="422" w:firstLineChars="20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/>
        </w:rPr>
        <w:t>注：下列“</w:t>
      </w:r>
      <w:bookmarkStart w:id="1" w:name="OLE_LINK8"/>
      <w:r>
        <w:rPr>
          <w:rFonts w:hint="eastAsia" w:ascii="Times New Roman" w:hAnsi="Times New Roman"/>
          <w:b/>
        </w:rPr>
        <w:t>▲、*</w:t>
      </w:r>
      <w:bookmarkEnd w:id="1"/>
      <w:r>
        <w:rPr>
          <w:rFonts w:hint="eastAsia" w:ascii="Times New Roman" w:hAnsi="Times New Roman"/>
          <w:b/>
        </w:rPr>
        <w:t>、#”技术条款及其它一般技术条款仅为评审打分项，不作为无效投标条款。</w:t>
      </w:r>
    </w:p>
    <w:p>
      <w:pPr>
        <w:pStyle w:val="3"/>
        <w:autoSpaceDE/>
        <w:autoSpaceDN/>
        <w:rPr>
          <w:snapToGrid w:val="0"/>
          <w:kern w:val="2"/>
          <w:szCs w:val="24"/>
        </w:rPr>
      </w:pPr>
      <w:bookmarkStart w:id="2" w:name="_Toc190097151"/>
      <w:bookmarkStart w:id="3" w:name="_Toc209985674"/>
      <w:r>
        <w:rPr>
          <w:rFonts w:hint="eastAsia"/>
          <w:snapToGrid w:val="0"/>
          <w:kern w:val="2"/>
          <w:szCs w:val="24"/>
        </w:rPr>
        <w:t>第1包：</w:t>
      </w:r>
      <w:bookmarkEnd w:id="2"/>
      <w:bookmarkEnd w:id="3"/>
    </w:p>
    <w:p>
      <w:pPr>
        <w:pStyle w:val="3"/>
        <w:autoSpaceDE/>
        <w:autoSpaceDN/>
        <w:rPr>
          <w:snapToGrid w:val="0"/>
          <w:kern w:val="2"/>
          <w:szCs w:val="24"/>
        </w:rPr>
      </w:pPr>
      <w:bookmarkStart w:id="4" w:name="_Toc209985675"/>
      <w:r>
        <w:rPr>
          <w:rFonts w:hint="eastAsia"/>
          <w:snapToGrid w:val="0"/>
          <w:kern w:val="2"/>
          <w:szCs w:val="24"/>
        </w:rPr>
        <w:t>品目1-1</w:t>
      </w:r>
      <w:bookmarkEnd w:id="4"/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一、主要用途：用于拷贝数变异、稀有突变检测、基因相对表达研究、二代测序结果验证、微生物鉴定检出、二代测序靶向建库等。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 xml:space="preserve">二、技术参数： 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（一）、主机：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▲微滴制备、扩增、微滴检测过程全封闭。样品放入制备系统后全程无需人工取移，无需封膜操作，全自动完成检测分析。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▲单样本反应体系，反应体积调节范围：</w:t>
      </w:r>
      <w:r>
        <w:rPr>
          <w:rFonts w:ascii="Times New Roman" w:hAnsi="Times New Roman"/>
          <w:szCs w:val="24"/>
        </w:rPr>
        <w:t>20</w:t>
      </w:r>
      <w:r>
        <w:rPr>
          <w:rFonts w:hint="eastAsia" w:ascii="Times New Roman" w:hAnsi="Times New Roman"/>
          <w:szCs w:val="24"/>
        </w:rPr>
        <w:t>～</w:t>
      </w:r>
      <w:r>
        <w:rPr>
          <w:rFonts w:ascii="Times New Roman" w:hAnsi="Times New Roman"/>
          <w:szCs w:val="24"/>
        </w:rPr>
        <w:t>50µL</w:t>
      </w:r>
      <w:r>
        <w:rPr>
          <w:rFonts w:hint="eastAsia" w:ascii="Times New Roman" w:hAnsi="Times New Roman"/>
          <w:szCs w:val="24"/>
        </w:rPr>
        <w:t>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▲压力产生油包水微液滴，单孔最大生成量≥</w:t>
      </w:r>
      <w:r>
        <w:rPr>
          <w:rFonts w:ascii="Times New Roman" w:hAnsi="Times New Roman"/>
          <w:szCs w:val="24"/>
        </w:rPr>
        <w:t>40000</w:t>
      </w:r>
      <w:r>
        <w:rPr>
          <w:rFonts w:hint="eastAsia" w:ascii="Times New Roman" w:hAnsi="Times New Roman"/>
          <w:szCs w:val="24"/>
        </w:rPr>
        <w:t>个微液滴；微单元有效率≥90%。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▲检测方式：采用流式计数逐一分析，实验无需本底荧光或内参通道。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  <w:szCs w:val="24"/>
        </w:rPr>
      </w:pPr>
    </w:p>
    <w:p>
      <w:pPr>
        <w:pStyle w:val="3"/>
        <w:autoSpaceDE/>
        <w:autoSpaceDN/>
        <w:rPr>
          <w:snapToGrid w:val="0"/>
          <w:kern w:val="2"/>
          <w:szCs w:val="24"/>
        </w:rPr>
      </w:pPr>
      <w:bookmarkStart w:id="5" w:name="_Toc209985676"/>
      <w:r>
        <w:rPr>
          <w:rFonts w:hint="eastAsia"/>
          <w:snapToGrid w:val="0"/>
          <w:kern w:val="2"/>
          <w:szCs w:val="24"/>
        </w:rPr>
        <w:t>第2包：</w:t>
      </w:r>
      <w:bookmarkEnd w:id="5"/>
    </w:p>
    <w:p>
      <w:pPr>
        <w:pStyle w:val="3"/>
        <w:autoSpaceDE/>
        <w:autoSpaceDN/>
        <w:rPr>
          <w:snapToGrid w:val="0"/>
          <w:kern w:val="2"/>
          <w:szCs w:val="24"/>
        </w:rPr>
      </w:pPr>
      <w:bookmarkStart w:id="6" w:name="_Toc209985677"/>
      <w:r>
        <w:rPr>
          <w:rFonts w:hint="eastAsia"/>
          <w:snapToGrid w:val="0"/>
          <w:kern w:val="2"/>
          <w:szCs w:val="24"/>
        </w:rPr>
        <w:t>品目2-1</w:t>
      </w:r>
      <w:bookmarkEnd w:id="6"/>
    </w:p>
    <w:p>
      <w:pPr>
        <w:autoSpaceDE/>
        <w:autoSpaceDN/>
        <w:rPr>
          <w:rFonts w:ascii="Times New Roman" w:hAnsi="Times New Roman"/>
          <w:szCs w:val="24"/>
        </w:rPr>
      </w:pPr>
      <w:bookmarkStart w:id="7" w:name="OLE_LINK1"/>
      <w:r>
        <w:rPr>
          <w:rFonts w:hint="eastAsia" w:ascii="Times New Roman" w:hAnsi="Times New Roman"/>
          <w:szCs w:val="24"/>
        </w:rPr>
        <w:t>一、主要用途：</w:t>
      </w:r>
      <w:bookmarkEnd w:id="7"/>
      <w:bookmarkStart w:id="8" w:name="OLE_LINK9"/>
      <w:r>
        <w:rPr>
          <w:rFonts w:hint="eastAsia" w:ascii="Times New Roman" w:hAnsi="Times New Roman"/>
          <w:szCs w:val="24"/>
        </w:rPr>
        <w:t>适用于荧光素酶标记的肿瘤学基础研究、报告基因表达成像、基因治疗以及药物筛选、药效与剂量评价</w:t>
      </w:r>
      <w:bookmarkEnd w:id="8"/>
      <w:r>
        <w:rPr>
          <w:rFonts w:hint="eastAsia" w:ascii="Times New Roman" w:hAnsi="Times New Roman"/>
          <w:szCs w:val="24"/>
        </w:rPr>
        <w:t>等。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二、技术参数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（一）、成像主机：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 xml:space="preserve">▲ </w:t>
      </w:r>
      <w:r>
        <w:rPr>
          <w:rFonts w:ascii="Times New Roman" w:hAnsi="Times New Roman"/>
          <w:szCs w:val="24"/>
        </w:rPr>
        <w:t>CCD</w:t>
      </w:r>
      <w:r>
        <w:rPr>
          <w:rFonts w:hint="eastAsia" w:ascii="Times New Roman" w:hAnsi="Times New Roman"/>
          <w:szCs w:val="24"/>
        </w:rPr>
        <w:t>传感器</w:t>
      </w:r>
      <w:r>
        <w:rPr>
          <w:rFonts w:ascii="Times New Roman" w:hAnsi="Times New Roman"/>
          <w:szCs w:val="24"/>
        </w:rPr>
        <w:t xml:space="preserve"> </w:t>
      </w:r>
      <w:r>
        <w:rPr>
          <w:rFonts w:hint="eastAsia" w:ascii="Times New Roman" w:hAnsi="Times New Roman"/>
          <w:szCs w:val="24"/>
        </w:rPr>
        <w:t>，制冷温度≤-90℃。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▲像素尺寸：≥</w:t>
      </w:r>
      <w:r>
        <w:rPr>
          <w:rFonts w:ascii="Times New Roman" w:hAnsi="Times New Roman"/>
          <w:szCs w:val="24"/>
        </w:rPr>
        <w:t>13μm×13μm</w:t>
      </w:r>
      <w:r>
        <w:rPr>
          <w:rFonts w:hint="eastAsia" w:ascii="Times New Roman" w:hAnsi="Times New Roman"/>
          <w:szCs w:val="24"/>
        </w:rPr>
        <w:t>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▲成像视野≥250mm×250mm，可以≥10只小鼠同时进行麻醉成像。（提供照片证明）。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3、荧光激发光源：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▲LED光源，无需从机箱外部导入光源。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▲激发滤光片位置≥20个，配备≥20个激发光滤光片；发射滤光片位置≥24位，配备≥18种滤光片；激发光滤光片、发射滤光片自动切换（提供实物照片及软件截图证明）。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▲全密闭暗箱，非载物台电动进出设计</w:t>
      </w:r>
    </w:p>
    <w:p>
      <w:pPr>
        <w:autoSpaceDE/>
        <w:autoSpaceDN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4"/>
        </w:rPr>
        <w:t>▲暗箱内部尺寸：≥</w:t>
      </w:r>
      <w:r>
        <w:rPr>
          <w:rFonts w:ascii="Times New Roman" w:hAnsi="Times New Roman"/>
          <w:szCs w:val="24"/>
        </w:rPr>
        <w:t>440</w:t>
      </w:r>
      <w:r>
        <w:rPr>
          <w:rFonts w:hint="eastAsia" w:ascii="Times New Roman" w:hAnsi="Times New Roman"/>
          <w:szCs w:val="24"/>
        </w:rPr>
        <w:t>×</w:t>
      </w:r>
      <w:r>
        <w:rPr>
          <w:rFonts w:ascii="Times New Roman" w:hAnsi="Times New Roman"/>
          <w:szCs w:val="24"/>
        </w:rPr>
        <w:t>515</w:t>
      </w:r>
      <w:r>
        <w:rPr>
          <w:rFonts w:hint="eastAsia" w:ascii="Times New Roman" w:hAnsi="Times New Roman"/>
          <w:szCs w:val="24"/>
        </w:rPr>
        <w:t>×</w:t>
      </w:r>
      <w:r>
        <w:rPr>
          <w:rFonts w:ascii="Times New Roman" w:hAnsi="Times New Roman"/>
          <w:szCs w:val="24"/>
        </w:rPr>
        <w:t>740mm</w:t>
      </w:r>
      <w:r>
        <w:rPr>
          <w:rFonts w:hint="eastAsia" w:ascii="Times New Roman" w:hAnsi="Times New Roman"/>
          <w:szCs w:val="24"/>
        </w:rPr>
        <w:t>，可容纳猴子进行光学活体成像。</w:t>
      </w:r>
      <w:r>
        <w:rPr>
          <w:rFonts w:hint="eastAsia" w:ascii="Times New Roman" w:hAnsi="Times New Roman"/>
          <w:szCs w:val="21"/>
        </w:rPr>
        <w:t>(需提供被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SCI收录的证明文献至少一篇)。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▲智能辅助成像模块：成像分辨率≥3072×2048。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▲细胞标记鉴定模块。</w:t>
      </w:r>
    </w:p>
    <w:p>
      <w:pPr>
        <w:numPr>
          <w:ilvl w:val="0"/>
          <w:numId w:val="1"/>
        </w:numPr>
        <w:autoSpaceDE/>
        <w:autoSpaceDN/>
        <w:spacing w:line="440" w:lineRule="exact"/>
        <w:rPr>
          <w:rFonts w:hint="eastAsia"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图像采集机数据分析工作站：</w:t>
      </w:r>
    </w:p>
    <w:p>
      <w:pPr>
        <w:numPr>
          <w:numId w:val="0"/>
        </w:numPr>
        <w:autoSpaceDE/>
        <w:autoSpaceDN/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4"/>
        </w:rPr>
        <w:t>▲具备量化归一分析功能，提供[p/s/cm²/</w:t>
      </w:r>
      <w:r>
        <w:rPr>
          <w:rFonts w:ascii="Times New Roman" w:hAnsi="Times New Roman"/>
          <w:szCs w:val="24"/>
        </w:rPr>
        <w:t>sr</w:t>
      </w:r>
      <w:r>
        <w:rPr>
          <w:rFonts w:hint="eastAsia" w:ascii="Times New Roman" w:hAnsi="Times New Roman"/>
          <w:szCs w:val="24"/>
        </w:rPr>
        <w:t>]和[(p/s/cm²/</w:t>
      </w:r>
      <w:r>
        <w:rPr>
          <w:rFonts w:ascii="Times New Roman" w:hAnsi="Times New Roman"/>
          <w:szCs w:val="24"/>
        </w:rPr>
        <w:t>sr</w:t>
      </w:r>
      <w:r>
        <w:rPr>
          <w:rFonts w:hint="eastAsia" w:ascii="Times New Roman" w:hAnsi="Times New Roman"/>
          <w:szCs w:val="24"/>
        </w:rPr>
        <w:t>)/(μw/cm²)]两种国际标准单位，用于量化分析不同拍摄条件的实验数据。</w:t>
      </w:r>
      <w:r>
        <w:rPr>
          <w:rFonts w:hint="eastAsia" w:ascii="Times New Roman" w:hAnsi="Times New Roman"/>
          <w:szCs w:val="21"/>
        </w:rPr>
        <w:t>（提供同系列设备被SCI收录的影响因子30分以上的动物活体实验文献不少于3篇）。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▲图像具备3D峰值显示功能（提供软件截图）。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▲具备荧光光谱分离功能，可进行多色光谱拆分，至少包括罗丹明B和FITC的荧光信号分离，可拆分出多种标记物的光谱图并单独进行分析（提供软件截图证明光谱拆分过程）。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（三）多功能气体麻醉系统：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▲气麻系统整合有小鼠固定装置及黄白双色照光源，用于尾静脉注射辅助操作。（提供实物照片）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三、主要配置：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1、成像主机：1套。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2、图像采集机数据分析工作站（含软件）：1套。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3、多功能气体麻醉系统：1套。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  <w:szCs w:val="24"/>
        </w:rPr>
      </w:pPr>
    </w:p>
    <w:p>
      <w:pPr>
        <w:pStyle w:val="3"/>
        <w:autoSpaceDE/>
        <w:autoSpaceDN/>
        <w:rPr>
          <w:snapToGrid w:val="0"/>
          <w:kern w:val="2"/>
          <w:szCs w:val="24"/>
        </w:rPr>
      </w:pPr>
      <w:bookmarkStart w:id="9" w:name="_Toc209985678"/>
      <w:r>
        <w:rPr>
          <w:rFonts w:hint="eastAsia"/>
          <w:snapToGrid w:val="0"/>
          <w:kern w:val="2"/>
          <w:szCs w:val="24"/>
        </w:rPr>
        <w:t>第3包：</w:t>
      </w:r>
      <w:bookmarkEnd w:id="9"/>
    </w:p>
    <w:p>
      <w:pPr>
        <w:pStyle w:val="3"/>
        <w:autoSpaceDE/>
        <w:autoSpaceDN/>
        <w:rPr>
          <w:snapToGrid w:val="0"/>
          <w:kern w:val="2"/>
          <w:szCs w:val="24"/>
        </w:rPr>
      </w:pPr>
      <w:bookmarkStart w:id="10" w:name="_Toc209985679"/>
      <w:r>
        <w:rPr>
          <w:rFonts w:hint="eastAsia"/>
          <w:snapToGrid w:val="0"/>
          <w:kern w:val="2"/>
          <w:szCs w:val="24"/>
        </w:rPr>
        <w:t>品目3-1</w:t>
      </w:r>
      <w:bookmarkEnd w:id="10"/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一、主要用途：同于溶剂残留、有机污染物及其它物质痕量的定性和定量分析。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二、技术参数：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▲峰面积重现性：RSD≤0.5%。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▲液晶触摸显示屏≥7英寸，分辨率≥800×480。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▲可记录色谱柱使用情况，反馈色谱柱使用信息。（提供主机界面截图证明）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▲样品瓶位数：≥</w:t>
      </w:r>
      <w:r>
        <w:rPr>
          <w:rFonts w:ascii="Times New Roman" w:hAnsi="Times New Roman"/>
          <w:szCs w:val="24"/>
        </w:rPr>
        <w:t>16</w:t>
      </w:r>
      <w:r>
        <w:rPr>
          <w:rFonts w:hint="eastAsia" w:ascii="Times New Roman" w:hAnsi="Times New Roman"/>
          <w:szCs w:val="24"/>
        </w:rPr>
        <w:t>0位。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▲加热孵化位数：12位。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▲最大离子化能量：≥</w:t>
      </w:r>
      <w:r>
        <w:rPr>
          <w:rFonts w:ascii="Times New Roman" w:hAnsi="Times New Roman"/>
          <w:szCs w:val="24"/>
        </w:rPr>
        <w:t>24</w:t>
      </w:r>
      <w:r>
        <w:rPr>
          <w:rFonts w:hint="eastAsia"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eV</w:t>
      </w:r>
      <w:r>
        <w:rPr>
          <w:rFonts w:hint="eastAsia" w:ascii="Times New Roman" w:hAnsi="Times New Roman"/>
          <w:szCs w:val="24"/>
        </w:rPr>
        <w:t>（提供软件截图证明）或配置2套离子源。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▲非预四极杆加热，独立温控，最高≥</w:t>
      </w:r>
      <w:r>
        <w:rPr>
          <w:rFonts w:ascii="Times New Roman" w:hAnsi="Times New Roman"/>
          <w:szCs w:val="24"/>
        </w:rPr>
        <w:t>200</w:t>
      </w:r>
      <w:r>
        <w:rPr>
          <w:rFonts w:hint="eastAsia" w:ascii="Times New Roman" w:hAnsi="Times New Roman"/>
          <w:szCs w:val="24"/>
        </w:rPr>
        <w:t>℃（提供四极杆温度截图证明）。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bookmarkStart w:id="11" w:name="_Hlk208777762"/>
      <w:r>
        <w:rPr>
          <w:rFonts w:hint="eastAsia" w:ascii="Times New Roman" w:hAnsi="Times New Roman"/>
          <w:szCs w:val="24"/>
        </w:rPr>
        <w:t>▲</w:t>
      </w:r>
      <w:bookmarkEnd w:id="11"/>
      <w:r>
        <w:rPr>
          <w:rFonts w:hint="eastAsia" w:ascii="Times New Roman" w:hAnsi="Times New Roman"/>
          <w:szCs w:val="24"/>
        </w:rPr>
        <w:t>扫描模式：全扫描(Full</w:t>
      </w:r>
      <w:r>
        <w:rPr>
          <w:rFonts w:ascii="Times New Roman" w:hAnsi="Times New Roman"/>
          <w:szCs w:val="24"/>
        </w:rPr>
        <w:t xml:space="preserve"> </w:t>
      </w:r>
      <w:r>
        <w:rPr>
          <w:rFonts w:hint="eastAsia" w:ascii="Times New Roman" w:hAnsi="Times New Roman"/>
          <w:szCs w:val="24"/>
        </w:rPr>
        <w:t>Scan)、选择离子扫描模式（SIM）、全扫描和选择离子同时扫描（SIM/SCAN）、轮廓图扫描（Profile）（提供软件截图证明）。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▲检测限：IDL ≤10</w:t>
      </w:r>
      <w:r>
        <w:rPr>
          <w:rFonts w:ascii="Times New Roman" w:hAnsi="Times New Roman"/>
          <w:szCs w:val="24"/>
        </w:rPr>
        <w:t>fg</w:t>
      </w:r>
      <w:r>
        <w:rPr>
          <w:rFonts w:hint="eastAsia" w:ascii="Times New Roman" w:hAnsi="Times New Roman"/>
          <w:szCs w:val="24"/>
        </w:rPr>
        <w:t>@100fg OFN 连续8次进样、99%置信水平下分析计算，所有测试中使用的色谱柱规格必须为 30 m × 0.25 mm, 0.25 μm。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▲配备单独的脂肪酸甲酯库(≥</w:t>
      </w:r>
      <w:r>
        <w:rPr>
          <w:rFonts w:ascii="Times New Roman" w:hAnsi="Times New Roman"/>
          <w:szCs w:val="24"/>
        </w:rPr>
        <w:t>3</w:t>
      </w:r>
      <w:r>
        <w:rPr>
          <w:rFonts w:hint="eastAsia" w:ascii="Times New Roman" w:hAnsi="Times New Roman"/>
          <w:szCs w:val="24"/>
        </w:rPr>
        <w:t>5种)、挥发性有机化合物库(≥</w:t>
      </w:r>
      <w:r>
        <w:rPr>
          <w:rFonts w:ascii="Times New Roman" w:hAnsi="Times New Roman"/>
          <w:szCs w:val="24"/>
        </w:rPr>
        <w:t>6</w:t>
      </w:r>
      <w:r>
        <w:rPr>
          <w:rFonts w:hint="eastAsia" w:ascii="Times New Roman" w:hAnsi="Times New Roman"/>
          <w:szCs w:val="24"/>
        </w:rPr>
        <w:t>5种)、香精香料库(≥</w:t>
      </w:r>
      <w:r>
        <w:rPr>
          <w:rFonts w:ascii="Times New Roman" w:hAnsi="Times New Roman"/>
          <w:szCs w:val="24"/>
        </w:rPr>
        <w:t>4</w:t>
      </w:r>
      <w:r>
        <w:rPr>
          <w:rFonts w:hint="eastAsia" w:ascii="Times New Roman" w:hAnsi="Times New Roman"/>
          <w:szCs w:val="24"/>
        </w:rPr>
        <w:t>00种)、毒物库(≥</w:t>
      </w:r>
      <w:r>
        <w:rPr>
          <w:rFonts w:ascii="Times New Roman" w:hAnsi="Times New Roman"/>
          <w:szCs w:val="24"/>
        </w:rPr>
        <w:t>27</w:t>
      </w:r>
      <w:r>
        <w:rPr>
          <w:rFonts w:hint="eastAsia" w:ascii="Times New Roman" w:hAnsi="Times New Roman"/>
          <w:szCs w:val="24"/>
        </w:rPr>
        <w:t>0种) 。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▲ACT标识： 参与My Green Lab独立审核，仪器具备ACT认证，具备绿色实验室标识，实现实验室效率、生产力和可持续性的相互联系，助力实验室可持续发展目标，以应对碳中和的节能化实验室变化要求，需提供ACT认证资质证明。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▲智能预警软件和早期维护提醒：NEW Smart Alerts 智能预警软件监控仪器运行状况并提供基于电子邮件的警报；Early Maintenance Feedback 早期维护提醒功能，监控仪器运行状况，提醒更换关键耗材。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三、主要配置：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1、单四级杆气质联用仪：1套。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2、高纯氮气（≥7L）：</w:t>
      </w:r>
      <w:r>
        <w:rPr>
          <w:rFonts w:ascii="Times New Roman" w:hAnsi="Times New Roman"/>
          <w:szCs w:val="24"/>
        </w:rPr>
        <w:t>2</w:t>
      </w:r>
      <w:r>
        <w:rPr>
          <w:rFonts w:hint="eastAsia" w:ascii="Times New Roman" w:hAnsi="Times New Roman"/>
          <w:szCs w:val="24"/>
        </w:rPr>
        <w:t>瓶。</w:t>
      </w:r>
    </w:p>
    <w:p>
      <w:pPr>
        <w:autoSpaceDE/>
        <w:autoSpaceDN/>
        <w:jc w:val="both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3、钢瓶减压阀：1套。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4、</w:t>
      </w:r>
      <w:r>
        <w:rPr>
          <w:rFonts w:ascii="Times New Roman" w:hAnsi="Times New Roman"/>
          <w:szCs w:val="24"/>
        </w:rPr>
        <w:t>UPS</w:t>
      </w:r>
      <w:r>
        <w:rPr>
          <w:rFonts w:hint="eastAsia" w:ascii="Times New Roman" w:hAnsi="Times New Roman"/>
          <w:szCs w:val="24"/>
        </w:rPr>
        <w:t>（功率≥6KVA，续航时间≥1h）：1台。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5、液体自动进样器 166位：1套。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6、顶空自动进样器：1套。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7、8890气相色谱： 1套。</w:t>
      </w:r>
    </w:p>
    <w:p>
      <w:pPr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8、毛细管色谱柱：2根。</w:t>
      </w:r>
    </w:p>
    <w:p>
      <w:pPr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9、配套耗材：1套。</w:t>
      </w:r>
    </w:p>
    <w:p>
      <w:pPr>
        <w:tabs>
          <w:tab w:val="left" w:pos="1050"/>
        </w:tabs>
        <w:autoSpaceDE/>
        <w:autoSpaceDN/>
        <w:rPr>
          <w:rFonts w:ascii="Times New Roman" w:hAnsi="Times New Roman"/>
          <w:szCs w:val="24"/>
        </w:rPr>
      </w:pPr>
    </w:p>
    <w:p>
      <w:pPr>
        <w:pStyle w:val="3"/>
        <w:autoSpaceDE/>
        <w:autoSpaceDN/>
        <w:rPr>
          <w:snapToGrid w:val="0"/>
          <w:kern w:val="2"/>
          <w:szCs w:val="24"/>
        </w:rPr>
      </w:pPr>
      <w:bookmarkStart w:id="12" w:name="_Toc209985680"/>
      <w:r>
        <w:rPr>
          <w:rFonts w:hint="eastAsia"/>
          <w:snapToGrid w:val="0"/>
          <w:kern w:val="2"/>
          <w:szCs w:val="24"/>
        </w:rPr>
        <w:t>第4包：</w:t>
      </w:r>
      <w:bookmarkEnd w:id="12"/>
    </w:p>
    <w:p>
      <w:pPr>
        <w:pStyle w:val="3"/>
        <w:autoSpaceDE/>
        <w:autoSpaceDN/>
        <w:rPr>
          <w:szCs w:val="24"/>
        </w:rPr>
      </w:pPr>
      <w:bookmarkStart w:id="13" w:name="_Toc209985681"/>
      <w:bookmarkStart w:id="14" w:name="_Toc190097159"/>
      <w:bookmarkStart w:id="15" w:name="_Toc152358812"/>
      <w:r>
        <w:rPr>
          <w:rFonts w:hint="eastAsia"/>
          <w:snapToGrid w:val="0"/>
          <w:kern w:val="2"/>
          <w:szCs w:val="24"/>
        </w:rPr>
        <w:t>品目4-1</w:t>
      </w:r>
      <w:bookmarkEnd w:id="13"/>
    </w:p>
    <w:p>
      <w:pPr>
        <w:pStyle w:val="12"/>
        <w:autoSpaceDE/>
        <w:autoSpaceDN/>
        <w:spacing w:after="0"/>
        <w:ind w:left="0" w:leftChars="0" w:firstLine="0" w:firstLineChars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一、主要用途：进行基因分型、体细胞突变和低频率检测和基因组DNA甲基化分析。</w:t>
      </w:r>
    </w:p>
    <w:p>
      <w:pPr>
        <w:pStyle w:val="12"/>
        <w:autoSpaceDE/>
        <w:autoSpaceDN/>
        <w:spacing w:after="0"/>
        <w:ind w:left="0" w:leftChars="0" w:firstLine="0" w:firstLineChars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二、技术参数：</w:t>
      </w:r>
    </w:p>
    <w:p>
      <w:pPr>
        <w:pStyle w:val="12"/>
        <w:autoSpaceDE/>
        <w:autoSpaceDN/>
        <w:spacing w:after="0"/>
        <w:ind w:left="0" w:leftChars="0" w:firstLine="0" w:firstLineChars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1、核酸质谱分析系统主机：</w:t>
      </w:r>
    </w:p>
    <w:p>
      <w:pPr>
        <w:pStyle w:val="12"/>
        <w:autoSpaceDE/>
        <w:autoSpaceDN/>
        <w:spacing w:after="0"/>
        <w:ind w:left="0" w:leftChars="0" w:firstLine="0" w:firstLineChars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▲核酸分析仪主机与全自动点样仪一体化设计，实现从PCR产物样本到结果全自动化。</w:t>
      </w:r>
    </w:p>
    <w:p>
      <w:pPr>
        <w:pStyle w:val="12"/>
        <w:autoSpaceDE/>
        <w:autoSpaceDN/>
        <w:spacing w:after="0"/>
        <w:ind w:left="0" w:leftChars="0" w:firstLine="0" w:firstLineChars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▲可重复利用纳升级点样针≥6个，非有耗材成本的移液吸头。</w:t>
      </w:r>
    </w:p>
    <w:p>
      <w:pPr>
        <w:pStyle w:val="12"/>
        <w:autoSpaceDE/>
        <w:autoSpaceDN/>
        <w:spacing w:after="0"/>
        <w:ind w:left="0" w:leftChars="0" w:firstLine="0" w:firstLineChars="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▲单次实验可同时放置≥2张96孔微阵列芯片和≥2个96孔反应板（提供仪器照片证明）。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▲可对4-30bp核酸片段进行分子量和拷贝数测定。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▲检测范围： 1000-10000m/z（提供软件截图显示该范围）。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▲在线引物设计软件，支持包括人和其它物种的多重SNP检测引物设计，可一健提交生成。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可以对≥95%的已知SNP和INDEL进行实验设计。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▲甲基化定量设计软件：配备基因型检测和体细胞突变检测设计软件、定量DNA甲基化比率检测设计软件（提供软件截图和输入用户名窗口）。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▲配备甲基化分析软件，一个反应可同时检测一个启动子的200-600bp范围的所有甲基化位点。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 xml:space="preserve">▲在甲基化分析中，可检测到≤5%的甲基化水平。（提供设备上软件真实截图，体现该甲基化分析软件型号信息，使用甲基化分析软件查看检测的甲基化片段长度（200bp以上）和所有甲基化位点以及质谱峰图，并显示定量分析待检测位点的≤5%甲基化水平）。 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▲具备QC质控试剂盒，含有≥21个外显子SNP、≥3个性别鉴定标记物和单次多重反应中的≥25个竞争性PCR检测方法。竞争性PCR检测方法覆盖：100 - 100,000个拷贝（0.3 - 300 ng），可监测片段大小在100 - 500 bp范围内的样本，可用于评估DNA鉴定以及可扩增模板拷贝数。</w:t>
      </w:r>
    </w:p>
    <w:p>
      <w:pPr>
        <w:autoSpaceDE/>
        <w:autoSpaceDN/>
        <w:rPr>
          <w:rFonts w:ascii="Times New Roman" w:hAnsi="Times New Roman"/>
          <w:szCs w:val="24"/>
        </w:rPr>
      </w:pPr>
      <w:bookmarkStart w:id="17" w:name="_GoBack"/>
      <w:bookmarkEnd w:id="17"/>
      <w:r>
        <w:rPr>
          <w:rFonts w:hint="eastAsia" w:ascii="Times New Roman" w:hAnsi="Times New Roman"/>
          <w:szCs w:val="24"/>
        </w:rPr>
        <w:t>具备≥2种CNV panel检测试剂盒，至少包括CYP2D6基因CNV检测试剂盒，可检测CYP2D6功能拷贝数以及Hybrid基因型。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三、主要配置：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1、核酸质谱分析系统主机：1台。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2、工作站（含引物设计、甲基化定量设计和分析软件）：1套。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3、SNP试剂盒：1套。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4、长片段甲基化试剂盒：1套。</w:t>
      </w:r>
    </w:p>
    <w:p>
      <w:pPr>
        <w:autoSpaceDE/>
        <w:autoSpaceDN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5、质控试剂盒：1个。</w:t>
      </w:r>
    </w:p>
    <w:p>
      <w:pPr>
        <w:autoSpaceDE/>
        <w:autoSpaceDN/>
        <w:jc w:val="center"/>
        <w:rPr>
          <w:rFonts w:ascii="Times New Roman" w:hAnsi="Times New Roman"/>
        </w:rPr>
      </w:pPr>
    </w:p>
    <w:p>
      <w:pPr>
        <w:pStyle w:val="2"/>
        <w:autoSpaceDE/>
        <w:autoSpaceDN/>
        <w:jc w:val="center"/>
      </w:pPr>
      <w:bookmarkStart w:id="16" w:name="_Toc209985682"/>
      <w:r>
        <w:rPr>
          <w:rFonts w:hint="eastAsia"/>
        </w:rPr>
        <w:t>四、</w:t>
      </w:r>
      <w:r>
        <w:t xml:space="preserve"> 其他相关要求</w:t>
      </w:r>
      <w:bookmarkEnd w:id="14"/>
      <w:bookmarkEnd w:id="15"/>
      <w:bookmarkEnd w:id="16"/>
    </w:p>
    <w:p>
      <w:pPr>
        <w:autoSpaceDE/>
        <w:autoSpaceDN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（一）质保期（保修期）</w:t>
      </w:r>
    </w:p>
    <w:p>
      <w:pPr>
        <w:tabs>
          <w:tab w:val="left" w:pos="0"/>
        </w:tabs>
        <w:autoSpaceDE/>
        <w:autoSpaceDN/>
        <w:ind w:firstLine="420" w:firstLineChars="200"/>
        <w:contextualSpacing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自验收完成之日起计算，具体要求，详见下表。</w:t>
      </w:r>
    </w:p>
    <w:tbl>
      <w:tblPr>
        <w:tblStyle w:val="1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4536"/>
        <w:gridCol w:w="99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4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包号</w:t>
            </w:r>
          </w:p>
        </w:tc>
        <w:tc>
          <w:tcPr>
            <w:tcW w:w="851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品目</w:t>
            </w:r>
          </w:p>
        </w:tc>
        <w:tc>
          <w:tcPr>
            <w:tcW w:w="4536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标的名称</w:t>
            </w:r>
          </w:p>
        </w:tc>
        <w:tc>
          <w:tcPr>
            <w:tcW w:w="992" w:type="dxa"/>
            <w:vAlign w:val="center"/>
          </w:tcPr>
          <w:p>
            <w:pPr>
              <w:autoSpaceDE/>
              <w:autoSpaceDN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数量（套）</w:t>
            </w: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保修期（单位：年）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04" w:type="dxa"/>
            <w:vAlign w:val="center"/>
          </w:tcPr>
          <w:p>
            <w:pPr>
              <w:autoSpaceDE/>
              <w:autoSpaceDN/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4536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全自动数字PCR仪</w:t>
            </w:r>
          </w:p>
        </w:tc>
        <w:tc>
          <w:tcPr>
            <w:tcW w:w="992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04" w:type="dxa"/>
            <w:vAlign w:val="center"/>
          </w:tcPr>
          <w:p>
            <w:pPr>
              <w:autoSpaceDE/>
              <w:autoSpaceDN/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2-1</w:t>
            </w:r>
          </w:p>
        </w:tc>
        <w:tc>
          <w:tcPr>
            <w:tcW w:w="4536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多模式动物活体成像系统</w:t>
            </w:r>
          </w:p>
        </w:tc>
        <w:tc>
          <w:tcPr>
            <w:tcW w:w="992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04" w:type="dxa"/>
            <w:vAlign w:val="center"/>
          </w:tcPr>
          <w:p>
            <w:pPr>
              <w:autoSpaceDE/>
              <w:autoSpaceDN/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4536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气相色谱-质谱仪</w:t>
            </w:r>
          </w:p>
        </w:tc>
        <w:tc>
          <w:tcPr>
            <w:tcW w:w="992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04" w:type="dxa"/>
            <w:vAlign w:val="center"/>
          </w:tcPr>
          <w:p>
            <w:pPr>
              <w:autoSpaceDE/>
              <w:autoSpaceDN/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4-1</w:t>
            </w:r>
          </w:p>
        </w:tc>
        <w:tc>
          <w:tcPr>
            <w:tcW w:w="4536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核酸质谱分析系统</w:t>
            </w:r>
          </w:p>
        </w:tc>
        <w:tc>
          <w:tcPr>
            <w:tcW w:w="992" w:type="dxa"/>
            <w:vAlign w:val="center"/>
          </w:tcPr>
          <w:p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5</w:t>
            </w:r>
          </w:p>
        </w:tc>
      </w:tr>
    </w:tbl>
    <w:p>
      <w:pPr>
        <w:tabs>
          <w:tab w:val="left" w:pos="0"/>
        </w:tabs>
        <w:autoSpaceDE/>
        <w:autoSpaceDN/>
        <w:ind w:firstLine="420" w:firstLineChars="200"/>
        <w:contextualSpacing/>
        <w:rPr>
          <w:rFonts w:ascii="Times New Roman" w:hAnsi="Times New Roman"/>
          <w:bCs/>
        </w:rPr>
      </w:pPr>
    </w:p>
    <w:p>
      <w:pPr>
        <w:autoSpaceDE/>
        <w:autoSpaceDN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（二）售后服务要求</w:t>
      </w:r>
    </w:p>
    <w:p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t>1、在货物到达后，投标人负责设备安装、调试、运行、性能测试并提供完整的报告，保证采购人正常使用；</w:t>
      </w:r>
    </w:p>
    <w:p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t>2、投标人提供</w:t>
      </w:r>
      <w:r>
        <w:rPr>
          <w:rFonts w:ascii="Times New Roman" w:hAnsi="Times New Roman"/>
          <w:lang w:bidi="ar"/>
        </w:rPr>
        <w:t>详细的中英文</w:t>
      </w:r>
      <w:r>
        <w:rPr>
          <w:rFonts w:ascii="Times New Roman" w:hAnsi="Times New Roman"/>
        </w:rPr>
        <w:t>操作手册及维护手册；</w:t>
      </w:r>
    </w:p>
    <w:p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t>3、质保期内投标人负责免费维修、更换配件；</w:t>
      </w:r>
    </w:p>
    <w:p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t>4、在质保期内，</w:t>
      </w:r>
      <w:r>
        <w:rPr>
          <w:rFonts w:hint="eastAsia" w:ascii="Times New Roman" w:hAnsi="Times New Roman"/>
          <w:spacing w:val="-3"/>
        </w:rPr>
        <w:t>货物报修后，2小时内响应，4小时内到达现场，24小时内排除故障。超过24小时未排除故障，免费提供备用货物，所有费用由投标人承担。</w:t>
      </w:r>
    </w:p>
    <w:p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t>5、质保期内，投标人应每年对所供设备提供定期回访及设备维护保养；</w:t>
      </w:r>
    </w:p>
    <w:p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t>6、</w:t>
      </w:r>
      <w:r>
        <w:rPr>
          <w:rFonts w:hint="eastAsia" w:ascii="Times New Roman" w:hAnsi="Times New Roman"/>
        </w:rPr>
        <w:t>提供货物最新技术资料，享受终身免费升级服务</w:t>
      </w:r>
      <w:r>
        <w:rPr>
          <w:rFonts w:ascii="Times New Roman" w:hAnsi="Times New Roman"/>
        </w:rPr>
        <w:t>；</w:t>
      </w:r>
    </w:p>
    <w:p>
      <w:pPr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7、质保期外，若为投标人提供零部件销售，且负责仪器的维修，配件费用按成本价收取；</w:t>
      </w:r>
    </w:p>
    <w:p>
      <w:pPr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8、投标人终身免费提供技术服务。</w:t>
      </w:r>
    </w:p>
    <w:p>
      <w:pPr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、投标人的应用支持可针对采购人提出的特殊试验，协助建立实验方案。如果采购人将来有新的技术应用，投标人可派专业技术人员协助；</w:t>
      </w:r>
    </w:p>
    <w:p>
      <w:pPr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10</w:t>
      </w:r>
      <w:r>
        <w:rPr>
          <w:rFonts w:ascii="Times New Roman" w:hAnsi="Times New Roman"/>
        </w:rPr>
        <w:t>、提供在北京地区设有的维修及售后服务网点具体分布情况，包括网点地址、电话、联系人等；</w:t>
      </w:r>
    </w:p>
    <w:p>
      <w:pPr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>、</w:t>
      </w:r>
      <w:r>
        <w:rPr>
          <w:rFonts w:hint="eastAsia" w:ascii="Times New Roman" w:hAnsi="Times New Roman"/>
        </w:rPr>
        <w:t>为保证货物正常运行，货物原厂应在中国境内有备件库，储备所有必要的零配件，并保证货物停产后不少于10年的供应期</w:t>
      </w:r>
      <w:r>
        <w:rPr>
          <w:rFonts w:ascii="Times New Roman" w:hAnsi="Times New Roman"/>
        </w:rPr>
        <w:t>；</w:t>
      </w:r>
    </w:p>
    <w:p>
      <w:pPr>
        <w:autoSpaceDE/>
        <w:autoSpaceDN/>
        <w:rPr>
          <w:rFonts w:ascii="Times New Roman" w:hAnsi="Times New Roman"/>
        </w:rPr>
      </w:pPr>
      <w:r>
        <w:rPr>
          <w:rFonts w:hint="eastAsia" w:ascii="Times New Roman" w:hAnsi="Times New Roman"/>
        </w:rPr>
        <w:t>12</w:t>
      </w:r>
      <w:r>
        <w:rPr>
          <w:rFonts w:ascii="Times New Roman" w:hAnsi="Times New Roman"/>
        </w:rPr>
        <w:t>、</w:t>
      </w:r>
      <w:r>
        <w:rPr>
          <w:rFonts w:hint="eastAsia" w:ascii="Times New Roman" w:hAnsi="Times New Roman"/>
          <w:spacing w:val="-3"/>
        </w:rPr>
        <w:t>每季度免费进行一次货物维护和保养，节假日及重大活动期间配合医院完成货物巡检</w:t>
      </w:r>
      <w:r>
        <w:rPr>
          <w:rFonts w:ascii="Times New Roman" w:hAnsi="Times New Roman"/>
        </w:rPr>
        <w:t>。</w:t>
      </w:r>
    </w:p>
    <w:p>
      <w:pPr>
        <w:autoSpaceDE/>
        <w:autoSpaceDN/>
        <w:rPr>
          <w:rFonts w:ascii="Times New Roman" w:hAnsi="Times New Roman"/>
          <w:spacing w:val="-3"/>
        </w:rPr>
      </w:pPr>
      <w:r>
        <w:rPr>
          <w:rFonts w:hint="eastAsia" w:ascii="Times New Roman" w:hAnsi="Times New Roman"/>
        </w:rPr>
        <w:t>13、</w:t>
      </w:r>
      <w:r>
        <w:rPr>
          <w:rFonts w:hint="eastAsia" w:ascii="Times New Roman" w:hAnsi="Times New Roman"/>
          <w:spacing w:val="-3"/>
        </w:rPr>
        <w:t>本项目中货物承诺按照采购人统一规划，依据采购人信息集成的需要，免费与采购人信息系统实现业务和数据集成，承担联网和监测所需的数据采集器、软件接口等费用。随机的业务应用系统所需的硬件资源（包含不限于服务器、工作站终端、输入输出货物等）和系统所需正版软件，无需采购人额外提供。</w:t>
      </w:r>
    </w:p>
    <w:p>
      <w:pPr>
        <w:pStyle w:val="4"/>
        <w:autoSpaceDE/>
        <w:autoSpaceDN/>
        <w:ind w:firstLine="0"/>
        <w:rPr>
          <w:rFonts w:ascii="Times New Roman"/>
          <w:spacing w:val="-3"/>
        </w:rPr>
      </w:pPr>
      <w:r>
        <w:rPr>
          <w:rFonts w:hint="eastAsia" w:ascii="Times New Roman"/>
          <w:spacing w:val="-3"/>
        </w:rPr>
        <w:t>14、货物信息安全管理要求：</w:t>
      </w:r>
    </w:p>
    <w:p>
      <w:pPr>
        <w:pStyle w:val="4"/>
        <w:autoSpaceDE/>
        <w:autoSpaceDN/>
        <w:ind w:firstLine="0"/>
        <w:rPr>
          <w:rFonts w:ascii="Times New Roman"/>
          <w:spacing w:val="-3"/>
        </w:rPr>
      </w:pPr>
      <w:r>
        <w:rPr>
          <w:rFonts w:hint="eastAsia" w:ascii="Times New Roman"/>
          <w:spacing w:val="-3"/>
        </w:rPr>
        <w:t>14</w:t>
      </w:r>
      <w:r>
        <w:rPr>
          <w:rFonts w:ascii="Times New Roman"/>
          <w:spacing w:val="-3"/>
        </w:rPr>
        <w:t>.1</w:t>
      </w:r>
      <w:r>
        <w:rPr>
          <w:rFonts w:hint="eastAsia" w:ascii="Times New Roman"/>
          <w:spacing w:val="-3"/>
        </w:rPr>
        <w:t>、本项目中货物承诺遵守</w:t>
      </w:r>
      <w:r>
        <w:rPr>
          <w:rFonts w:ascii="Times New Roman"/>
          <w:spacing w:val="-3"/>
        </w:rPr>
        <w:t>采购人信息安全</w:t>
      </w:r>
      <w:r>
        <w:rPr>
          <w:rFonts w:hint="eastAsia" w:ascii="Times New Roman"/>
          <w:spacing w:val="-3"/>
        </w:rPr>
        <w:t>统一管理的</w:t>
      </w:r>
      <w:r>
        <w:rPr>
          <w:rFonts w:ascii="Times New Roman"/>
          <w:spacing w:val="-3"/>
        </w:rPr>
        <w:t>要求，签署货物信息安全及数据保密承诺</w:t>
      </w:r>
      <w:r>
        <w:rPr>
          <w:rFonts w:hint="eastAsia" w:ascii="Times New Roman"/>
          <w:spacing w:val="-3"/>
        </w:rPr>
        <w:t>书，</w:t>
      </w:r>
      <w:r>
        <w:rPr>
          <w:rFonts w:ascii="Times New Roman"/>
          <w:spacing w:val="-3"/>
        </w:rPr>
        <w:t>接受</w:t>
      </w:r>
      <w:r>
        <w:rPr>
          <w:rFonts w:hint="eastAsia" w:ascii="Times New Roman"/>
          <w:spacing w:val="-3"/>
        </w:rPr>
        <w:t>并</w:t>
      </w:r>
      <w:r>
        <w:rPr>
          <w:rFonts w:ascii="Times New Roman"/>
          <w:spacing w:val="-3"/>
        </w:rPr>
        <w:t>配合相关信息安全检查，并按照要求进行相关整改。</w:t>
      </w:r>
    </w:p>
    <w:p>
      <w:pPr>
        <w:pStyle w:val="4"/>
        <w:autoSpaceDE/>
        <w:autoSpaceDN/>
        <w:ind w:firstLine="0"/>
        <w:rPr>
          <w:rFonts w:ascii="Times New Roman"/>
          <w:spacing w:val="-3"/>
        </w:rPr>
      </w:pPr>
      <w:r>
        <w:rPr>
          <w:rFonts w:hint="eastAsia" w:ascii="Times New Roman"/>
          <w:spacing w:val="-3"/>
        </w:rPr>
        <w:t>14</w:t>
      </w:r>
      <w:r>
        <w:rPr>
          <w:rFonts w:ascii="Times New Roman"/>
          <w:spacing w:val="-3"/>
        </w:rPr>
        <w:t>.</w:t>
      </w:r>
      <w:r>
        <w:rPr>
          <w:rFonts w:hint="eastAsia" w:ascii="Times New Roman"/>
          <w:spacing w:val="-3"/>
        </w:rPr>
        <w:t>2、投标人应提供货物信息</w:t>
      </w:r>
      <w:r>
        <w:rPr>
          <w:rFonts w:ascii="Times New Roman"/>
          <w:spacing w:val="-3"/>
        </w:rPr>
        <w:t>安全</w:t>
      </w:r>
      <w:r>
        <w:rPr>
          <w:rFonts w:hint="eastAsia" w:ascii="Times New Roman"/>
          <w:spacing w:val="-3"/>
        </w:rPr>
        <w:t>相关技术文档，包括不限于拓扑图、权限表、端口说明等。</w:t>
      </w:r>
    </w:p>
    <w:p>
      <w:pPr>
        <w:pStyle w:val="4"/>
        <w:autoSpaceDE/>
        <w:autoSpaceDN/>
        <w:ind w:firstLine="0"/>
        <w:rPr>
          <w:rFonts w:ascii="Times New Roman"/>
          <w:spacing w:val="-3"/>
        </w:rPr>
      </w:pPr>
      <w:r>
        <w:rPr>
          <w:rFonts w:hint="eastAsia" w:ascii="Times New Roman"/>
          <w:spacing w:val="-3"/>
        </w:rPr>
        <w:t>14</w:t>
      </w:r>
      <w:r>
        <w:rPr>
          <w:rFonts w:ascii="Times New Roman"/>
          <w:spacing w:val="-3"/>
        </w:rPr>
        <w:t>.</w:t>
      </w:r>
      <w:r>
        <w:rPr>
          <w:rFonts w:hint="eastAsia" w:ascii="Times New Roman"/>
          <w:spacing w:val="-3"/>
        </w:rPr>
        <w:t>3、本项目中货物未经授权投标人不得接入互联网或外部局域网，不得擅自使用系统“后门”“远程控制”，不得擅自加装信号发射装置，未经审批不得远程调取或拷贝数据，未经审批数据不得存储于“云端”或境外。</w:t>
      </w:r>
    </w:p>
    <w:p>
      <w:pPr>
        <w:autoSpaceDE/>
        <w:autoSpaceDN/>
        <w:rPr>
          <w:rFonts w:ascii="Times New Roman" w:hAnsi="Times New Roman"/>
        </w:rPr>
      </w:pPr>
    </w:p>
    <w:p>
      <w:pPr>
        <w:autoSpaceDE/>
        <w:autoSpaceDN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（三）培训等相关要求</w:t>
      </w:r>
    </w:p>
    <w:p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、在安装调试完毕后，</w:t>
      </w:r>
      <w:r>
        <w:rPr>
          <w:rFonts w:hint="eastAsia" w:ascii="Times New Roman" w:hAnsi="Times New Roman"/>
          <w:spacing w:val="-3"/>
        </w:rPr>
        <w:t>投标人免费负责对采购人的相关人员进行培训，培训内容包括货物的日常开关机、货物初始化过程、货物操作规范、维护保养、故障识别及排除等，直至采购人的相关人员能够熟练掌握为止</w:t>
      </w:r>
      <w:r>
        <w:rPr>
          <w:rFonts w:hint="eastAsia" w:ascii="Times New Roman" w:hAnsi="Times New Roman"/>
        </w:rPr>
        <w:t>；</w:t>
      </w:r>
    </w:p>
    <w:p>
      <w:pPr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、投标人在中国境内设有专业的培训中心，为采购人提供两个免费培训名额，培训内容为仪器构成、维护、工作原理、基本操作、方法建立及应用。</w:t>
      </w:r>
    </w:p>
    <w:p>
      <w:pPr>
        <w:autoSpaceDE/>
        <w:autoSpaceDN/>
        <w:rPr>
          <w:rFonts w:hint="default" w:ascii="Times New Roman" w:hAnsi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53</w: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2C923"/>
    <w:multiLevelType w:val="singleLevel"/>
    <w:tmpl w:val="98B2C92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638A7"/>
    <w:rsid w:val="01762CC7"/>
    <w:rsid w:val="01957730"/>
    <w:rsid w:val="0FA14E8D"/>
    <w:rsid w:val="14A26D8F"/>
    <w:rsid w:val="1F9A2D26"/>
    <w:rsid w:val="286D6ABD"/>
    <w:rsid w:val="32430622"/>
    <w:rsid w:val="436C03B1"/>
    <w:rsid w:val="656E6DBB"/>
    <w:rsid w:val="69FA0255"/>
    <w:rsid w:val="6A4F06EB"/>
    <w:rsid w:val="6E051379"/>
    <w:rsid w:val="70B92C9A"/>
    <w:rsid w:val="73147C33"/>
    <w:rsid w:val="774638A7"/>
    <w:rsid w:val="78DE5897"/>
    <w:rsid w:val="7B2624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outlineLvl w:val="1"/>
    </w:pPr>
    <w:rPr>
      <w:rFonts w:ascii="Times New Roman" w:hAnsi="Times New Roman"/>
      <w:b/>
      <w:szCs w:val="52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unhideWhenUsed/>
    <w:qFormat/>
    <w:uiPriority w:val="99"/>
  </w:style>
  <w:style w:type="paragraph" w:styleId="6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7"/>
    <w:semiHidden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page number"/>
    <w:qFormat/>
    <w:uiPriority w:val="0"/>
  </w:style>
  <w:style w:type="character" w:styleId="17">
    <w:name w:val="annotation reference"/>
    <w:basedOn w:val="15"/>
    <w:qFormat/>
    <w:uiPriority w:val="99"/>
    <w:rPr>
      <w:sz w:val="21"/>
      <w:szCs w:val="21"/>
    </w:rPr>
  </w:style>
  <w:style w:type="paragraph" w:customStyle="1" w:styleId="18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rFonts w:ascii="Times New Roman" w:hAnsi="Times New Roman"/>
      <w:sz w:val="24"/>
      <w:szCs w:val="20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20">
    <w:name w:val="alt+z"/>
    <w:basedOn w:val="1"/>
    <w:qFormat/>
    <w:uiPriority w:val="0"/>
    <w:pPr>
      <w:spacing w:line="360" w:lineRule="auto"/>
      <w:ind w:firstLine="480" w:firstLineChars="200"/>
    </w:pPr>
    <w:rPr>
      <w:kern w:val="0"/>
      <w:sz w:val="24"/>
    </w:rPr>
  </w:style>
  <w:style w:type="table" w:customStyle="1" w:styleId="21">
    <w:name w:val="Table Normal"/>
    <w:unhideWhenUsed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p0"/>
    <w:basedOn w:val="1"/>
    <w:qFormat/>
    <w:uiPriority w:val="0"/>
    <w:pPr>
      <w:widowControl/>
      <w:autoSpaceDE/>
      <w:autoSpaceDN/>
      <w:spacing w:line="240" w:lineRule="auto"/>
      <w:jc w:val="both"/>
    </w:pPr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1763</Words>
  <Characters>1878</Characters>
  <Lines>0</Lines>
  <Paragraphs>0</Paragraphs>
  <TotalTime>1</TotalTime>
  <ScaleCrop>false</ScaleCrop>
  <LinksUpToDate>false</LinksUpToDate>
  <CharactersWithSpaces>1889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2024-07-31T00:37:00Z</dcterms:created>
  <dc:creator>张雅希</dc:creator>
  <cp:lastModifiedBy>XXZX-HS-001</cp:lastModifiedBy>
  <dcterms:modified xsi:type="dcterms:W3CDTF">2025-09-29T00:34:00Z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F2C453F9BA9145D09F394B65CD248215</vt:lpwstr>
  </property>
  <property fmtid="{D5CDD505-2E9C-101B-9397-08002B2CF9AE}" pid="4" name="KSOTemplateDocerSaveRecord">
    <vt:lpwstr>eyJoZGlkIjoiNDc0NWI3NGU2MGE5NGYwOTU4NjdiNjNjNmU1M2FhOWQiLCJ1c2VySWQiOiIxMDE2MjcyODQzIn0=</vt:lpwstr>
  </property>
</Properties>
</file>