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改革与发展2025（儿科发育多组学技术平台的建立和应用性基础研究）测试化验加工委托服务需求</w:t>
      </w:r>
    </w:p>
    <w:p>
      <w:pPr>
        <w:pStyle w:val="18"/>
        <w:snapToGrid/>
        <w:spacing w:before="0" w:line="360" w:lineRule="auto"/>
        <w:ind w:firstLine="0"/>
        <w:contextualSpacing/>
        <w:rPr>
          <w:rFonts w:ascii="仿宋" w:hAnsi="仿宋" w:eastAsia="仿宋"/>
          <w:b/>
          <w:szCs w:val="24"/>
        </w:rPr>
      </w:pPr>
      <w:r>
        <w:rPr>
          <w:rFonts w:hint="eastAsia" w:ascii="仿宋" w:hAnsi="仿宋" w:eastAsia="仿宋"/>
          <w:b/>
          <w:szCs w:val="24"/>
        </w:rPr>
        <w:t>一、</w:t>
      </w:r>
      <w:r>
        <w:rPr>
          <w:rFonts w:ascii="仿宋" w:hAnsi="仿宋" w:eastAsia="仿宋"/>
          <w:b/>
          <w:szCs w:val="24"/>
        </w:rPr>
        <w:t>采购标的需实现的功能或者目标，以及为落实政府采购政策需满足的要求</w:t>
      </w:r>
    </w:p>
    <w:p>
      <w:pPr>
        <w:pStyle w:val="18"/>
        <w:tabs>
          <w:tab w:val="left" w:pos="7980"/>
        </w:tabs>
        <w:snapToGrid/>
        <w:spacing w:before="0" w:line="360" w:lineRule="auto"/>
        <w:ind w:firstLine="0"/>
        <w:contextualSpacing/>
        <w:rPr>
          <w:rFonts w:ascii="仿宋" w:hAnsi="仿宋" w:eastAsia="仿宋"/>
          <w:b/>
          <w:bCs/>
          <w:szCs w:val="24"/>
        </w:rPr>
      </w:pPr>
      <w:r>
        <w:rPr>
          <w:rFonts w:hint="eastAsia" w:ascii="仿宋" w:hAnsi="仿宋" w:eastAsia="仿宋"/>
          <w:b/>
          <w:bCs/>
          <w:szCs w:val="24"/>
        </w:rPr>
        <w:t>(一)采购</w:t>
      </w:r>
      <w:r>
        <w:rPr>
          <w:rFonts w:ascii="仿宋" w:hAnsi="仿宋" w:eastAsia="仿宋"/>
          <w:b/>
          <w:bCs/>
          <w:szCs w:val="24"/>
        </w:rPr>
        <w:t>标的需实现的功能或者目标：</w:t>
      </w:r>
    </w:p>
    <w:p>
      <w:pPr>
        <w:autoSpaceDE w:val="0"/>
        <w:autoSpaceDN w:val="0"/>
        <w:adjustRightInd w:val="0"/>
        <w:spacing w:line="360" w:lineRule="auto"/>
        <w:ind w:firstLine="480" w:firstLineChars="200"/>
        <w:contextualSpacing/>
        <w:rPr>
          <w:rFonts w:ascii="仿宋" w:hAnsi="仿宋" w:eastAsia="仿宋"/>
          <w:sz w:val="24"/>
        </w:rPr>
      </w:pPr>
      <w:r>
        <w:rPr>
          <w:rFonts w:hint="eastAsia" w:ascii="仿宋" w:hAnsi="仿宋" w:eastAsia="仿宋"/>
          <w:sz w:val="24"/>
        </w:rPr>
        <w:t>本次招标采购是为首都医科大学附属改革与发展2025（儿科发育多组学技术平台的建立和应用性基础研究）测试化验加工委托服务，投标人应根据招标文件所提出的技术规格和服务要求以先进的技术、优良的服务和优惠的价格，充分显示自己的竞争实力。</w:t>
      </w:r>
    </w:p>
    <w:p>
      <w:pPr>
        <w:pStyle w:val="18"/>
        <w:snapToGrid/>
        <w:spacing w:before="0" w:line="360" w:lineRule="auto"/>
        <w:ind w:firstLine="0"/>
        <w:contextualSpacing/>
        <w:rPr>
          <w:rFonts w:ascii="仿宋" w:hAnsi="仿宋" w:eastAsia="仿宋"/>
          <w:b/>
          <w:bCs/>
          <w:szCs w:val="24"/>
        </w:rPr>
      </w:pPr>
      <w:r>
        <w:rPr>
          <w:rFonts w:ascii="仿宋" w:hAnsi="仿宋" w:eastAsia="仿宋"/>
          <w:b/>
          <w:bCs/>
          <w:szCs w:val="24"/>
        </w:rPr>
        <w:t>（二）为落实政府采购政策需满足的要求</w:t>
      </w:r>
    </w:p>
    <w:p>
      <w:pPr>
        <w:numPr>
          <w:ilvl w:val="0"/>
          <w:numId w:val="1"/>
        </w:numPr>
        <w:tabs>
          <w:tab w:val="left" w:pos="900"/>
        </w:tabs>
        <w:spacing w:line="360" w:lineRule="auto"/>
        <w:contextualSpacing/>
        <w:rPr>
          <w:rFonts w:ascii="仿宋" w:hAnsi="仿宋" w:eastAsia="仿宋"/>
          <w:sz w:val="24"/>
        </w:rPr>
      </w:pPr>
      <w:r>
        <w:rPr>
          <w:rFonts w:ascii="仿宋" w:hAnsi="仿宋" w:eastAsia="仿宋"/>
          <w:sz w:val="24"/>
        </w:rPr>
        <w:t>促进</w:t>
      </w:r>
      <w:r>
        <w:rPr>
          <w:rFonts w:hint="eastAsia" w:ascii="仿宋" w:hAnsi="仿宋" w:eastAsia="仿宋"/>
          <w:sz w:val="24"/>
        </w:rPr>
        <w:t>中小</w:t>
      </w:r>
      <w:r>
        <w:rPr>
          <w:rFonts w:ascii="仿宋" w:hAnsi="仿宋" w:eastAsia="仿宋"/>
          <w:sz w:val="24"/>
        </w:rPr>
        <w:t>企业发展政策：</w:t>
      </w:r>
      <w:r>
        <w:rPr>
          <w:rFonts w:hint="eastAsia" w:ascii="仿宋" w:hAnsi="仿宋" w:eastAsia="仿宋"/>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pStyle w:val="18"/>
        <w:numPr>
          <w:ilvl w:val="0"/>
          <w:numId w:val="1"/>
        </w:numPr>
        <w:snapToGrid/>
        <w:spacing w:before="0" w:line="360" w:lineRule="auto"/>
        <w:contextualSpacing/>
        <w:rPr>
          <w:rFonts w:ascii="仿宋" w:hAnsi="仿宋" w:eastAsia="仿宋"/>
          <w:szCs w:val="24"/>
        </w:rPr>
      </w:pPr>
      <w:r>
        <w:rPr>
          <w:rFonts w:ascii="仿宋" w:hAnsi="仿宋" w:eastAsia="仿宋"/>
          <w:szCs w:val="24"/>
        </w:rPr>
        <w:t>监狱企业扶持政策：</w:t>
      </w:r>
      <w:r>
        <w:rPr>
          <w:rFonts w:ascii="仿宋" w:hAnsi="仿宋" w:eastAsia="仿宋"/>
          <w:iCs/>
          <w:szCs w:val="24"/>
        </w:rPr>
        <w:t>投标人如为监狱企业将视同为小型或微型企业，</w:t>
      </w:r>
      <w:r>
        <w:rPr>
          <w:rFonts w:ascii="仿宋" w:hAnsi="仿宋" w:eastAsia="仿宋"/>
          <w:szCs w:val="24"/>
        </w:rPr>
        <w:t>且所投产品为小型或微型企业生产的，</w:t>
      </w:r>
      <w:r>
        <w:rPr>
          <w:rFonts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hAnsi="仿宋" w:eastAsia="仿宋"/>
          <w:szCs w:val="24"/>
        </w:rPr>
        <w:t>。</w:t>
      </w:r>
    </w:p>
    <w:p>
      <w:pPr>
        <w:pStyle w:val="18"/>
        <w:numPr>
          <w:ilvl w:val="0"/>
          <w:numId w:val="1"/>
        </w:numPr>
        <w:snapToGrid/>
        <w:spacing w:before="0" w:line="360" w:lineRule="auto"/>
        <w:contextualSpacing/>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numPr>
          <w:ilvl w:val="0"/>
          <w:numId w:val="1"/>
        </w:numPr>
        <w:tabs>
          <w:tab w:val="left" w:pos="900"/>
        </w:tabs>
        <w:spacing w:line="360" w:lineRule="auto"/>
        <w:contextualSpacing/>
        <w:rPr>
          <w:rFonts w:ascii="仿宋" w:hAnsi="仿宋" w:eastAsia="仿宋"/>
          <w:sz w:val="24"/>
        </w:rPr>
      </w:pPr>
      <w:r>
        <w:rPr>
          <w:rFonts w:hint="eastAsia" w:ascii="仿宋" w:hAnsi="仿宋" w:eastAsia="仿宋"/>
          <w:sz w:val="24"/>
        </w:rPr>
        <w:t>鼓励节能政策：投标人的</w:t>
      </w:r>
      <w:r>
        <w:rPr>
          <w:rFonts w:ascii="仿宋" w:hAnsi="仿宋" w:eastAsia="仿宋"/>
          <w:kern w:val="0"/>
          <w:sz w:val="24"/>
        </w:rPr>
        <w:t>投标产品</w:t>
      </w:r>
      <w:r>
        <w:rPr>
          <w:rFonts w:hint="eastAsia" w:ascii="仿宋" w:hAnsi="仿宋" w:eastAsia="仿宋"/>
          <w:kern w:val="0"/>
          <w:sz w:val="24"/>
        </w:rPr>
        <w:t>属于财政部、发展改革委公布的“节能产品政府采购品目清单”范围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pPr>
        <w:numPr>
          <w:ilvl w:val="0"/>
          <w:numId w:val="1"/>
        </w:numPr>
        <w:tabs>
          <w:tab w:val="left" w:pos="900"/>
        </w:tabs>
        <w:spacing w:line="360" w:lineRule="auto"/>
        <w:contextualSpacing/>
        <w:rPr>
          <w:rFonts w:ascii="仿宋" w:hAnsi="仿宋" w:eastAsia="仿宋"/>
          <w:sz w:val="24"/>
        </w:rPr>
      </w:pPr>
      <w:r>
        <w:rPr>
          <w:rFonts w:hint="eastAsia" w:ascii="仿宋" w:hAnsi="仿宋" w:eastAsia="仿宋"/>
          <w:sz w:val="24"/>
        </w:rPr>
        <w:t>鼓励环保政策：投标人的</w:t>
      </w:r>
      <w:r>
        <w:rPr>
          <w:rFonts w:ascii="仿宋" w:hAnsi="仿宋" w:eastAsia="仿宋"/>
          <w:kern w:val="0"/>
          <w:sz w:val="24"/>
        </w:rPr>
        <w:t>投标产品</w:t>
      </w:r>
      <w:r>
        <w:rPr>
          <w:rFonts w:hint="eastAsia" w:ascii="仿宋" w:hAnsi="仿宋" w:eastAsia="仿宋"/>
          <w:kern w:val="0"/>
          <w:sz w:val="24"/>
        </w:rPr>
        <w:t>属于财政部、生态环境部公布的“环境标志产品政府采购品目清单”范围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产品获证产品信息可从市场监管总局组建的节能产品、环境标志产品认证结果信息发布平台或中国政府采购网（www.ccgp.gov.cn）建立的认证结果信息发布平台链接中查询下载。</w:t>
      </w:r>
    </w:p>
    <w:p>
      <w:pPr>
        <w:pStyle w:val="18"/>
        <w:snapToGrid/>
        <w:spacing w:before="0" w:line="360" w:lineRule="auto"/>
        <w:ind w:firstLine="0"/>
        <w:contextualSpacing/>
        <w:rPr>
          <w:rFonts w:ascii="仿宋" w:hAnsi="仿宋" w:eastAsia="仿宋"/>
          <w:b/>
          <w:szCs w:val="24"/>
        </w:rPr>
      </w:pPr>
      <w:r>
        <w:rPr>
          <w:rFonts w:hint="eastAsia" w:ascii="仿宋" w:hAnsi="仿宋" w:eastAsia="仿宋"/>
          <w:b/>
          <w:szCs w:val="24"/>
        </w:rPr>
        <w:t>二、</w:t>
      </w:r>
      <w:r>
        <w:rPr>
          <w:rFonts w:ascii="仿宋" w:hAnsi="仿宋" w:eastAsia="仿宋"/>
          <w:b/>
          <w:szCs w:val="24"/>
        </w:rPr>
        <w:t>采购标的需执行的国家相关标准、行业标准、地方标准或者其他标准、规范</w:t>
      </w:r>
    </w:p>
    <w:p>
      <w:pPr>
        <w:spacing w:line="360" w:lineRule="auto"/>
        <w:ind w:firstLine="480" w:firstLineChars="200"/>
        <w:rPr>
          <w:rFonts w:ascii="仿宋" w:hAnsi="仿宋" w:eastAsia="仿宋" w:cs="Arial"/>
          <w:sz w:val="24"/>
        </w:rPr>
      </w:pPr>
      <w:r>
        <w:rPr>
          <w:rFonts w:hint="eastAsia" w:ascii="仿宋" w:hAnsi="仿宋" w:eastAsia="仿宋"/>
          <w:kern w:val="0"/>
          <w:sz w:val="24"/>
        </w:rPr>
        <w:t>符合已颁布的现行中华人民共和国认可的国家标准、地方标准和行业标准。如果这些标准内容有矛盾时，应按最高标准的条款执行。</w:t>
      </w:r>
    </w:p>
    <w:p>
      <w:pPr>
        <w:pStyle w:val="18"/>
        <w:snapToGrid/>
        <w:spacing w:before="0" w:line="360" w:lineRule="auto"/>
        <w:ind w:firstLine="0"/>
        <w:contextualSpacing/>
        <w:rPr>
          <w:rFonts w:ascii="仿宋" w:hAnsi="仿宋" w:eastAsia="仿宋"/>
          <w:b/>
          <w:szCs w:val="24"/>
        </w:rPr>
      </w:pPr>
      <w:r>
        <w:rPr>
          <w:rFonts w:hint="eastAsia" w:ascii="仿宋" w:hAnsi="仿宋" w:eastAsia="仿宋"/>
          <w:b/>
          <w:szCs w:val="24"/>
        </w:rPr>
        <w:t>三、采购标的的数量、采购项目交付或者实施的时间和地点</w:t>
      </w:r>
    </w:p>
    <w:p>
      <w:pPr>
        <w:pStyle w:val="18"/>
        <w:snapToGrid/>
        <w:spacing w:before="0" w:line="360" w:lineRule="auto"/>
        <w:ind w:left="-208" w:firstLine="0"/>
        <w:contextualSpacing/>
        <w:rPr>
          <w:rFonts w:ascii="仿宋" w:hAnsi="仿宋" w:eastAsia="仿宋"/>
          <w:b/>
          <w:szCs w:val="24"/>
        </w:rPr>
      </w:pPr>
      <w:r>
        <w:rPr>
          <w:rFonts w:hint="eastAsia" w:ascii="仿宋" w:hAnsi="仿宋" w:eastAsia="仿宋"/>
          <w:b/>
          <w:szCs w:val="24"/>
        </w:rPr>
        <w:t>（一）采购标的的数量</w:t>
      </w:r>
    </w:p>
    <w:tbl>
      <w:tblPr>
        <w:tblStyle w:val="13"/>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4034"/>
        <w:gridCol w:w="1134"/>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608" w:type="pct"/>
            <w:shd w:val="clear" w:color="auto" w:fill="auto"/>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包号</w:t>
            </w:r>
          </w:p>
        </w:tc>
        <w:tc>
          <w:tcPr>
            <w:tcW w:w="2366" w:type="pct"/>
            <w:shd w:val="clear" w:color="auto" w:fill="auto"/>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标的名称</w:t>
            </w:r>
          </w:p>
        </w:tc>
        <w:tc>
          <w:tcPr>
            <w:tcW w:w="665" w:type="pct"/>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数量</w:t>
            </w:r>
          </w:p>
        </w:tc>
        <w:tc>
          <w:tcPr>
            <w:tcW w:w="1361" w:type="pct"/>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8" w:type="pct"/>
            <w:shd w:val="clear" w:color="auto" w:fill="auto"/>
            <w:noWrap/>
            <w:vAlign w:val="center"/>
          </w:tcPr>
          <w:p>
            <w:pPr>
              <w:spacing w:line="360" w:lineRule="auto"/>
              <w:contextualSpacing/>
              <w:jc w:val="center"/>
              <w:rPr>
                <w:rFonts w:ascii="仿宋" w:hAnsi="仿宋" w:eastAsia="仿宋"/>
                <w:sz w:val="24"/>
              </w:rPr>
            </w:pPr>
            <w:r>
              <w:rPr>
                <w:rFonts w:hint="eastAsia" w:ascii="仿宋" w:hAnsi="仿宋" w:eastAsia="仿宋"/>
                <w:sz w:val="24"/>
              </w:rPr>
              <w:t>1</w:t>
            </w:r>
          </w:p>
        </w:tc>
        <w:tc>
          <w:tcPr>
            <w:tcW w:w="2366" w:type="pct"/>
            <w:shd w:val="clear" w:color="auto" w:fill="auto"/>
            <w:vAlign w:val="center"/>
          </w:tcPr>
          <w:p>
            <w:pPr>
              <w:spacing w:line="360" w:lineRule="auto"/>
              <w:contextualSpacing/>
              <w:jc w:val="center"/>
              <w:rPr>
                <w:rFonts w:ascii="仿宋" w:hAnsi="仿宋" w:eastAsia="仿宋"/>
                <w:sz w:val="24"/>
              </w:rPr>
            </w:pPr>
            <w:r>
              <w:rPr>
                <w:rFonts w:hint="eastAsia" w:ascii="仿宋" w:hAnsi="仿宋" w:eastAsia="仿宋"/>
                <w:sz w:val="24"/>
              </w:rPr>
              <w:t>测试化验加工委托服务1</w:t>
            </w:r>
          </w:p>
        </w:tc>
        <w:tc>
          <w:tcPr>
            <w:tcW w:w="665" w:type="pct"/>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1项</w:t>
            </w:r>
          </w:p>
        </w:tc>
        <w:tc>
          <w:tcPr>
            <w:tcW w:w="1361" w:type="pct"/>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8" w:type="pct"/>
            <w:shd w:val="clear" w:color="auto" w:fill="auto"/>
            <w:noWrap/>
            <w:vAlign w:val="center"/>
          </w:tcPr>
          <w:p>
            <w:pPr>
              <w:spacing w:line="360" w:lineRule="auto"/>
              <w:contextualSpacing/>
              <w:jc w:val="center"/>
              <w:rPr>
                <w:rFonts w:ascii="仿宋" w:hAnsi="仿宋" w:eastAsia="仿宋"/>
                <w:sz w:val="24"/>
              </w:rPr>
            </w:pPr>
            <w:r>
              <w:rPr>
                <w:rFonts w:hint="eastAsia" w:ascii="仿宋" w:hAnsi="仿宋" w:eastAsia="仿宋"/>
                <w:sz w:val="24"/>
              </w:rPr>
              <w:t>2</w:t>
            </w:r>
          </w:p>
        </w:tc>
        <w:tc>
          <w:tcPr>
            <w:tcW w:w="2366" w:type="pct"/>
            <w:shd w:val="clear" w:color="auto" w:fill="auto"/>
            <w:vAlign w:val="center"/>
          </w:tcPr>
          <w:p>
            <w:pPr>
              <w:spacing w:line="360" w:lineRule="auto"/>
              <w:contextualSpacing/>
              <w:jc w:val="center"/>
              <w:rPr>
                <w:rFonts w:ascii="仿宋" w:hAnsi="仿宋" w:eastAsia="仿宋"/>
                <w:sz w:val="24"/>
              </w:rPr>
            </w:pPr>
            <w:r>
              <w:rPr>
                <w:rFonts w:hint="eastAsia" w:ascii="仿宋" w:hAnsi="仿宋" w:eastAsia="仿宋"/>
                <w:sz w:val="24"/>
              </w:rPr>
              <w:t>测试化验加工委托服务2</w:t>
            </w:r>
          </w:p>
        </w:tc>
        <w:tc>
          <w:tcPr>
            <w:tcW w:w="665" w:type="pct"/>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1项</w:t>
            </w:r>
          </w:p>
        </w:tc>
        <w:tc>
          <w:tcPr>
            <w:tcW w:w="1361" w:type="pct"/>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8" w:type="pct"/>
            <w:shd w:val="clear" w:color="auto" w:fill="auto"/>
            <w:noWrap/>
            <w:vAlign w:val="center"/>
          </w:tcPr>
          <w:p>
            <w:pPr>
              <w:spacing w:line="360" w:lineRule="auto"/>
              <w:contextualSpacing/>
              <w:jc w:val="center"/>
              <w:rPr>
                <w:rFonts w:ascii="仿宋" w:hAnsi="仿宋" w:eastAsia="仿宋"/>
                <w:sz w:val="24"/>
              </w:rPr>
            </w:pPr>
            <w:r>
              <w:rPr>
                <w:rFonts w:hint="eastAsia" w:ascii="仿宋" w:hAnsi="仿宋" w:eastAsia="仿宋"/>
                <w:sz w:val="24"/>
              </w:rPr>
              <w:t>3</w:t>
            </w:r>
          </w:p>
        </w:tc>
        <w:tc>
          <w:tcPr>
            <w:tcW w:w="2366" w:type="pct"/>
            <w:shd w:val="clear" w:color="auto" w:fill="auto"/>
            <w:vAlign w:val="center"/>
          </w:tcPr>
          <w:p>
            <w:pPr>
              <w:spacing w:line="360" w:lineRule="auto"/>
              <w:contextualSpacing/>
              <w:jc w:val="center"/>
              <w:rPr>
                <w:rFonts w:ascii="仿宋" w:hAnsi="仿宋" w:eastAsia="仿宋"/>
                <w:sz w:val="24"/>
              </w:rPr>
            </w:pPr>
            <w:r>
              <w:rPr>
                <w:rFonts w:hint="eastAsia" w:ascii="仿宋" w:hAnsi="仿宋" w:eastAsia="仿宋"/>
                <w:sz w:val="24"/>
              </w:rPr>
              <w:t>测试化验加工委托服务3</w:t>
            </w:r>
          </w:p>
        </w:tc>
        <w:tc>
          <w:tcPr>
            <w:tcW w:w="665" w:type="pct"/>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1项</w:t>
            </w:r>
          </w:p>
        </w:tc>
        <w:tc>
          <w:tcPr>
            <w:tcW w:w="1361" w:type="pct"/>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否</w:t>
            </w:r>
          </w:p>
        </w:tc>
      </w:tr>
    </w:tbl>
    <w:p>
      <w:pPr>
        <w:pStyle w:val="18"/>
        <w:snapToGrid/>
        <w:spacing w:before="0" w:line="360" w:lineRule="auto"/>
        <w:ind w:left="-208" w:firstLine="0"/>
        <w:contextualSpacing/>
        <w:rPr>
          <w:rFonts w:ascii="仿宋" w:hAnsi="仿宋" w:eastAsia="仿宋"/>
          <w:b/>
          <w:szCs w:val="24"/>
        </w:rPr>
      </w:pPr>
      <w:r>
        <w:rPr>
          <w:rFonts w:hint="eastAsia" w:ascii="仿宋" w:hAnsi="仿宋" w:eastAsia="仿宋"/>
          <w:b/>
          <w:szCs w:val="24"/>
        </w:rPr>
        <w:t>（二）采购项目交付或者服务的时间和地点：</w:t>
      </w:r>
    </w:p>
    <w:p>
      <w:pPr>
        <w:pStyle w:val="12"/>
      </w:pPr>
      <w:r>
        <w:t>1</w:t>
      </w:r>
      <w:r>
        <w:rPr>
          <w:rFonts w:hint="eastAsia"/>
        </w:rPr>
        <w:t>、服务时间：自签订合同之日起1年。</w:t>
      </w:r>
    </w:p>
    <w:p>
      <w:pPr>
        <w:spacing w:line="360" w:lineRule="auto"/>
        <w:contextualSpacing/>
        <w:rPr>
          <w:rFonts w:ascii="仿宋" w:hAnsi="仿宋" w:eastAsia="仿宋"/>
          <w:sz w:val="24"/>
          <w:u w:val="single"/>
        </w:rPr>
      </w:pPr>
      <w:r>
        <w:rPr>
          <w:rFonts w:hint="eastAsia" w:ascii="仿宋" w:hAnsi="仿宋" w:eastAsia="仿宋" w:cs="宋体"/>
          <w:sz w:val="24"/>
        </w:rPr>
        <w:t>2、服务地点：首都儿科研究所指定地点。</w:t>
      </w:r>
    </w:p>
    <w:p>
      <w:pPr>
        <w:pStyle w:val="18"/>
        <w:snapToGrid/>
        <w:spacing w:before="0" w:line="360" w:lineRule="auto"/>
        <w:ind w:firstLine="0"/>
        <w:contextualSpacing/>
        <w:rPr>
          <w:rFonts w:ascii="仿宋" w:hAnsi="仿宋" w:eastAsia="仿宋"/>
          <w:b/>
          <w:szCs w:val="24"/>
        </w:rPr>
      </w:pPr>
      <w:r>
        <w:rPr>
          <w:rFonts w:hint="eastAsia" w:ascii="仿宋" w:hAnsi="仿宋" w:eastAsia="仿宋"/>
          <w:b/>
          <w:szCs w:val="24"/>
        </w:rPr>
        <w:t>四、采购标的需满足的服务标准、期限、效率等要求</w:t>
      </w:r>
    </w:p>
    <w:p>
      <w:pPr>
        <w:tabs>
          <w:tab w:val="left" w:pos="900"/>
        </w:tabs>
        <w:spacing w:line="360" w:lineRule="auto"/>
        <w:contextualSpacing/>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pPr>
        <w:pStyle w:val="8"/>
        <w:rPr>
          <w:b/>
        </w:rPr>
      </w:pPr>
      <w:r>
        <w:t>详见七、采购招标的需满足的质量、安全、技术规格、物理特性等要求。</w:t>
      </w:r>
    </w:p>
    <w:p>
      <w:pPr>
        <w:tabs>
          <w:tab w:val="left" w:pos="900"/>
        </w:tabs>
        <w:spacing w:line="360" w:lineRule="auto"/>
        <w:contextualSpacing/>
        <w:rPr>
          <w:rFonts w:ascii="仿宋" w:hAnsi="仿宋" w:eastAsia="仿宋"/>
          <w:b/>
          <w:sz w:val="24"/>
        </w:rPr>
      </w:pPr>
      <w:r>
        <w:rPr>
          <w:rFonts w:hint="eastAsia" w:ascii="仿宋" w:hAnsi="仿宋" w:eastAsia="仿宋"/>
          <w:b/>
          <w:sz w:val="24"/>
        </w:rPr>
        <w:t>（二）采购标的需满足的服务期限要求</w:t>
      </w:r>
    </w:p>
    <w:p>
      <w:pPr>
        <w:tabs>
          <w:tab w:val="left" w:pos="900"/>
        </w:tabs>
        <w:spacing w:line="360" w:lineRule="auto"/>
        <w:contextualSpacing/>
        <w:rPr>
          <w:rFonts w:ascii="仿宋" w:hAnsi="仿宋" w:eastAsia="仿宋"/>
          <w:bCs/>
          <w:sz w:val="24"/>
        </w:rPr>
      </w:pPr>
      <w:r>
        <w:rPr>
          <w:rFonts w:hint="eastAsia" w:ascii="仿宋" w:hAnsi="仿宋" w:eastAsia="仿宋"/>
          <w:b/>
          <w:sz w:val="24"/>
        </w:rPr>
        <w:t>1.服务期限：</w:t>
      </w:r>
      <w:r>
        <w:rPr>
          <w:rFonts w:hint="eastAsia" w:ascii="仿宋" w:hAnsi="仿宋" w:eastAsia="仿宋"/>
          <w:sz w:val="24"/>
        </w:rPr>
        <w:t>自签订合同之日起1年</w:t>
      </w:r>
      <w:r>
        <w:rPr>
          <w:rFonts w:hint="eastAsia" w:ascii="仿宋" w:hAnsi="仿宋" w:eastAsia="仿宋"/>
          <w:bCs/>
          <w:sz w:val="24"/>
        </w:rPr>
        <w:t>。提供2年的售后服务。</w:t>
      </w:r>
    </w:p>
    <w:p>
      <w:pPr>
        <w:pStyle w:val="18"/>
        <w:snapToGrid/>
        <w:spacing w:before="0" w:line="360" w:lineRule="auto"/>
        <w:ind w:firstLine="0"/>
        <w:contextualSpacing/>
        <w:rPr>
          <w:rFonts w:ascii="仿宋" w:hAnsi="仿宋" w:eastAsia="仿宋"/>
          <w:b/>
          <w:szCs w:val="24"/>
        </w:rPr>
      </w:pPr>
      <w:r>
        <w:rPr>
          <w:rFonts w:hint="eastAsia" w:ascii="仿宋" w:hAnsi="仿宋" w:eastAsia="仿宋"/>
          <w:b/>
          <w:szCs w:val="24"/>
        </w:rPr>
        <w:t>五、采购标的物验收标准</w:t>
      </w:r>
    </w:p>
    <w:p>
      <w:pPr>
        <w:pStyle w:val="8"/>
        <w:rPr>
          <w:bCs w:val="0"/>
        </w:rPr>
      </w:pPr>
      <w:r>
        <w:rPr>
          <w:rFonts w:hint="eastAsia"/>
          <w:bCs w:val="0"/>
        </w:rPr>
        <w:t>采购人按照国家有关规定以及招标文件的要求、投标人的投标文件及承诺与本项目合同约定标准进行验收。</w:t>
      </w:r>
    </w:p>
    <w:p>
      <w:pPr>
        <w:tabs>
          <w:tab w:val="left" w:pos="900"/>
        </w:tabs>
        <w:spacing w:line="360" w:lineRule="auto"/>
        <w:contextualSpacing/>
        <w:rPr>
          <w:rFonts w:ascii="仿宋" w:hAnsi="仿宋" w:eastAsia="仿宋"/>
          <w:b/>
          <w:sz w:val="24"/>
        </w:rPr>
      </w:pPr>
      <w:r>
        <w:rPr>
          <w:rFonts w:hint="eastAsia" w:ascii="仿宋" w:hAnsi="仿宋" w:eastAsia="仿宋"/>
          <w:b/>
          <w:sz w:val="24"/>
        </w:rPr>
        <w:t>六、采购标的的其他技术、服务等要求</w:t>
      </w:r>
    </w:p>
    <w:p>
      <w:pPr>
        <w:pStyle w:val="12"/>
      </w:pPr>
      <w:r>
        <w:rPr>
          <w:rFonts w:hint="eastAsia"/>
        </w:rPr>
        <w:t>投标人需按照招标文件要求提供</w:t>
      </w:r>
      <w:r>
        <w:rPr>
          <w:rFonts w:hint="eastAsia"/>
          <w:kern w:val="0"/>
        </w:rPr>
        <w:t>本项目需求理解分析及质量保证措施</w:t>
      </w:r>
      <w:r>
        <w:rPr>
          <w:rFonts w:hint="eastAsia"/>
        </w:rPr>
        <w:t>、</w:t>
      </w:r>
      <w:r>
        <w:rPr>
          <w:rFonts w:hint="eastAsia" w:ascii="仿宋_GB2312" w:hAnsi="仿宋_GB2312" w:eastAsia="仿宋_GB2312" w:cs="仿宋_GB2312"/>
        </w:rPr>
        <w:t>测试化验加工服务方案</w:t>
      </w:r>
      <w:r>
        <w:rPr>
          <w:rFonts w:hint="eastAsia"/>
        </w:rPr>
        <w:t>、对投标人拟投入项目团队实施人员、</w:t>
      </w:r>
      <w:r>
        <w:rPr>
          <w:rFonts w:hint="eastAsia" w:cs="宋体"/>
          <w:szCs w:val="21"/>
        </w:rPr>
        <w:t>应急预案</w:t>
      </w:r>
      <w:r>
        <w:rPr>
          <w:rFonts w:hint="eastAsia"/>
        </w:rPr>
        <w:t>和</w:t>
      </w:r>
      <w:r>
        <w:rPr>
          <w:rFonts w:hint="eastAsia" w:cs="宋体"/>
          <w:szCs w:val="21"/>
        </w:rPr>
        <w:t>售后服务方案</w:t>
      </w:r>
      <w:r>
        <w:rPr>
          <w:rFonts w:hint="eastAsia"/>
        </w:rPr>
        <w:t>等。</w:t>
      </w:r>
    </w:p>
    <w:p>
      <w:pPr>
        <w:tabs>
          <w:tab w:val="left" w:pos="900"/>
        </w:tabs>
        <w:spacing w:line="360" w:lineRule="auto"/>
        <w:contextualSpacing/>
        <w:rPr>
          <w:rFonts w:ascii="仿宋" w:hAnsi="仿宋" w:eastAsia="仿宋"/>
          <w:b/>
          <w:sz w:val="24"/>
        </w:rPr>
      </w:pPr>
      <w:r>
        <w:rPr>
          <w:rFonts w:hint="eastAsia" w:ascii="仿宋" w:hAnsi="仿宋" w:eastAsia="仿宋"/>
          <w:b/>
          <w:sz w:val="24"/>
        </w:rPr>
        <w:t>七、采购标的需满足的质量、安全、技术规格、物理特性等要求：</w:t>
      </w:r>
    </w:p>
    <w:p>
      <w:pPr>
        <w:tabs>
          <w:tab w:val="left" w:pos="900"/>
        </w:tabs>
        <w:snapToGrid w:val="0"/>
        <w:spacing w:line="360" w:lineRule="auto"/>
        <w:jc w:val="center"/>
        <w:rPr>
          <w:rFonts w:ascii="宋体" w:hAnsi="宋体"/>
          <w:szCs w:val="21"/>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ascii="宋体" w:hAnsi="宋体"/>
          <w:szCs w:val="21"/>
        </w:rPr>
        <w:br w:type="page"/>
      </w:r>
    </w:p>
    <w:p>
      <w:pPr>
        <w:tabs>
          <w:tab w:val="left" w:pos="900"/>
        </w:tabs>
        <w:spacing w:before="120" w:beforeLines="50" w:line="360" w:lineRule="auto"/>
        <w:jc w:val="center"/>
        <w:rPr>
          <w:rFonts w:ascii="仿宋" w:hAnsi="仿宋" w:eastAsia="仿宋"/>
          <w:b/>
          <w:sz w:val="24"/>
        </w:rPr>
      </w:pPr>
      <w:r>
        <w:rPr>
          <w:rFonts w:ascii="仿宋" w:hAnsi="仿宋" w:eastAsia="仿宋"/>
          <w:b/>
          <w:sz w:val="24"/>
        </w:rPr>
        <w:t>第</w:t>
      </w:r>
      <w:r>
        <w:rPr>
          <w:rFonts w:hint="eastAsia" w:ascii="仿宋" w:hAnsi="仿宋" w:eastAsia="仿宋"/>
          <w:b/>
          <w:sz w:val="24"/>
        </w:rPr>
        <w:t>1</w:t>
      </w:r>
      <w:r>
        <w:rPr>
          <w:rFonts w:ascii="仿宋" w:hAnsi="仿宋" w:eastAsia="仿宋"/>
          <w:b/>
          <w:sz w:val="24"/>
        </w:rPr>
        <w:t>包</w:t>
      </w:r>
      <w:r>
        <w:rPr>
          <w:rFonts w:hint="eastAsia" w:ascii="仿宋" w:hAnsi="仿宋" w:eastAsia="仿宋"/>
          <w:b/>
          <w:sz w:val="24"/>
        </w:rPr>
        <w:t xml:space="preserve"> 测试化验加工委托服务1 </w:t>
      </w:r>
    </w:p>
    <w:p>
      <w:pPr>
        <w:spacing w:line="360" w:lineRule="auto"/>
        <w:contextualSpacing/>
        <w:rPr>
          <w:rFonts w:ascii="仿宋" w:hAnsi="仿宋" w:eastAsia="仿宋"/>
          <w:sz w:val="24"/>
        </w:rPr>
      </w:pPr>
      <w:r>
        <w:rPr>
          <w:rFonts w:hint="eastAsia" w:ascii="仿宋" w:hAnsi="仿宋" w:eastAsia="仿宋"/>
          <w:b/>
          <w:bCs/>
          <w:sz w:val="24"/>
        </w:rPr>
        <w:t>（一）服务内容</w:t>
      </w:r>
    </w:p>
    <w:p>
      <w:pPr>
        <w:spacing w:line="360" w:lineRule="auto"/>
        <w:ind w:firstLine="480" w:firstLineChars="200"/>
        <w:contextualSpacing/>
        <w:rPr>
          <w:rFonts w:ascii="仿宋" w:hAnsi="仿宋" w:eastAsia="仿宋"/>
          <w:sz w:val="24"/>
        </w:rPr>
      </w:pPr>
      <w:r>
        <w:rPr>
          <w:rFonts w:hint="eastAsia" w:ascii="仿宋" w:hAnsi="仿宋" w:eastAsia="仿宋"/>
          <w:sz w:val="24"/>
        </w:rPr>
        <w:t>投标人应对采购人提供的样本进行引物合成、DNA测序、探针合成、基因组框架图、基因组完成图、质粒合成、5hmc测序、M6A甲基化测序服务。</w:t>
      </w:r>
    </w:p>
    <w:tbl>
      <w:tblPr>
        <w:tblStyle w:val="13"/>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440"/>
        <w:gridCol w:w="3053"/>
        <w:gridCol w:w="1860"/>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1" w:type="pct"/>
            <w:vAlign w:val="center"/>
          </w:tcPr>
          <w:p>
            <w:pPr>
              <w:jc w:val="center"/>
              <w:rPr>
                <w:rFonts w:ascii="仿宋" w:hAnsi="仿宋" w:eastAsia="仿宋"/>
                <w:b/>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t>包号</w:t>
            </w:r>
          </w:p>
        </w:tc>
        <w:tc>
          <w:tcPr>
            <w:tcW w:w="775" w:type="pct"/>
            <w:vAlign w:val="center"/>
          </w:tcPr>
          <w:p>
            <w:pPr>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品目号</w:t>
            </w:r>
          </w:p>
        </w:tc>
        <w:tc>
          <w:tcPr>
            <w:tcW w:w="1643" w:type="pct"/>
            <w:vAlign w:val="center"/>
          </w:tcPr>
          <w:p>
            <w:pPr>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测试化验加工的内容</w:t>
            </w:r>
          </w:p>
        </w:tc>
        <w:tc>
          <w:tcPr>
            <w:tcW w:w="1001" w:type="pct"/>
            <w:vAlign w:val="center"/>
          </w:tcPr>
          <w:p>
            <w:pPr>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数量</w:t>
            </w:r>
          </w:p>
        </w:tc>
        <w:tc>
          <w:tcPr>
            <w:tcW w:w="1000"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
                <w:sz w:val="24"/>
                <w:lang w:val="zh-TW" w:eastAsia="zh-TW"/>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81" w:type="pct"/>
            <w:vMerge w:val="restar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Cs/>
                <w:sz w:val="24"/>
              </w:rPr>
              <w:t>1</w:t>
            </w:r>
          </w:p>
        </w:tc>
        <w:tc>
          <w:tcPr>
            <w:tcW w:w="77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Cs/>
                <w:sz w:val="24"/>
              </w:rPr>
              <w:t>1-1</w:t>
            </w:r>
          </w:p>
        </w:tc>
        <w:tc>
          <w:tcPr>
            <w:tcW w:w="1643"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lang w:val="zh-TW" w:eastAsia="zh-TW"/>
              </w:rPr>
              <w:t>引物合成</w:t>
            </w:r>
          </w:p>
        </w:tc>
        <w:tc>
          <w:tcPr>
            <w:tcW w:w="100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rPr>
              <w:t>20880</w:t>
            </w:r>
          </w:p>
        </w:tc>
        <w:tc>
          <w:tcPr>
            <w:tcW w:w="1000" w:type="pct"/>
            <w:vAlign w:val="center"/>
          </w:tcPr>
          <w:p>
            <w:pPr>
              <w:jc w:val="center"/>
              <w:rPr>
                <w:rFonts w:ascii="仿宋" w:hAnsi="仿宋" w:eastAsia="仿宋"/>
                <w:sz w:val="24"/>
              </w:rPr>
            </w:pPr>
            <w:r>
              <w:rPr>
                <w:rFonts w:hint="eastAsia" w:ascii="仿宋" w:hAnsi="仿宋" w:eastAsia="仿宋"/>
                <w:sz w:val="24"/>
                <w:lang w:val="zh-TW" w:eastAsia="zh-TW"/>
              </w:rPr>
              <w:t>碱基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81"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77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Cs/>
                <w:sz w:val="24"/>
              </w:rPr>
              <w:t>1-2</w:t>
            </w:r>
          </w:p>
        </w:tc>
        <w:tc>
          <w:tcPr>
            <w:tcW w:w="1643"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rPr>
              <w:t>DNA测序</w:t>
            </w:r>
          </w:p>
        </w:tc>
        <w:tc>
          <w:tcPr>
            <w:tcW w:w="100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rPr>
              <w:t>5540</w:t>
            </w:r>
          </w:p>
        </w:tc>
        <w:tc>
          <w:tcPr>
            <w:tcW w:w="1000" w:type="pct"/>
            <w:vAlign w:val="center"/>
          </w:tcPr>
          <w:p>
            <w:pPr>
              <w:jc w:val="center"/>
              <w:rPr>
                <w:rFonts w:ascii="仿宋" w:hAnsi="仿宋" w:eastAsia="仿宋"/>
                <w:sz w:val="24"/>
              </w:rPr>
            </w:pPr>
            <w:r>
              <w:rPr>
                <w:rFonts w:hint="eastAsia" w:ascii="仿宋" w:hAnsi="仿宋" w:eastAsia="仿宋"/>
                <w:sz w:val="24"/>
              </w:rPr>
              <w:t>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81"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77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Cs/>
                <w:sz w:val="24"/>
              </w:rPr>
              <w:t>1-3</w:t>
            </w:r>
          </w:p>
        </w:tc>
        <w:tc>
          <w:tcPr>
            <w:tcW w:w="1643"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lang w:val="zh-TW" w:eastAsia="zh-TW"/>
              </w:rPr>
              <w:t>探针合成</w:t>
            </w:r>
          </w:p>
        </w:tc>
        <w:tc>
          <w:tcPr>
            <w:tcW w:w="100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rPr>
              <w:t>118</w:t>
            </w:r>
          </w:p>
        </w:tc>
        <w:tc>
          <w:tcPr>
            <w:tcW w:w="1000" w:type="pct"/>
            <w:vAlign w:val="center"/>
          </w:tcPr>
          <w:p>
            <w:pPr>
              <w:jc w:val="center"/>
              <w:rPr>
                <w:rFonts w:ascii="仿宋" w:hAnsi="仿宋" w:eastAsia="仿宋"/>
                <w:sz w:val="24"/>
              </w:rPr>
            </w:pPr>
            <w:r>
              <w:rPr>
                <w:rFonts w:hint="eastAsia" w:ascii="仿宋" w:hAnsi="仿宋" w:eastAsia="仿宋"/>
                <w:sz w:val="24"/>
              </w:rPr>
              <w:t>探针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81"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77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Cs/>
                <w:sz w:val="24"/>
              </w:rPr>
              <w:t>1-4</w:t>
            </w:r>
          </w:p>
        </w:tc>
        <w:tc>
          <w:tcPr>
            <w:tcW w:w="1643"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rPr>
              <w:t>基因组框架图</w:t>
            </w:r>
          </w:p>
        </w:tc>
        <w:tc>
          <w:tcPr>
            <w:tcW w:w="100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rPr>
              <w:t>100</w:t>
            </w:r>
          </w:p>
        </w:tc>
        <w:tc>
          <w:tcPr>
            <w:tcW w:w="1000" w:type="pct"/>
            <w:vAlign w:val="center"/>
          </w:tcPr>
          <w:p>
            <w:pPr>
              <w:jc w:val="center"/>
              <w:rPr>
                <w:rFonts w:ascii="仿宋" w:hAnsi="仿宋" w:eastAsia="仿宋"/>
                <w:sz w:val="24"/>
              </w:rPr>
            </w:pPr>
            <w:r>
              <w:rPr>
                <w:rFonts w:hint="eastAsia" w:ascii="仿宋" w:hAnsi="仿宋" w:eastAsia="仿宋"/>
                <w:sz w:val="24"/>
              </w:rPr>
              <w:t>菌株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81"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77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Cs/>
                <w:sz w:val="24"/>
              </w:rPr>
              <w:t>1-5</w:t>
            </w:r>
          </w:p>
        </w:tc>
        <w:tc>
          <w:tcPr>
            <w:tcW w:w="1643"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rPr>
              <w:t>基因组完成图</w:t>
            </w:r>
          </w:p>
        </w:tc>
        <w:tc>
          <w:tcPr>
            <w:tcW w:w="100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rPr>
              <w:t>15</w:t>
            </w:r>
          </w:p>
        </w:tc>
        <w:tc>
          <w:tcPr>
            <w:tcW w:w="1000" w:type="pct"/>
            <w:vAlign w:val="center"/>
          </w:tcPr>
          <w:p>
            <w:pPr>
              <w:jc w:val="center"/>
              <w:rPr>
                <w:rFonts w:ascii="仿宋" w:hAnsi="仿宋" w:eastAsia="仿宋"/>
                <w:sz w:val="24"/>
              </w:rPr>
            </w:pPr>
            <w:r>
              <w:rPr>
                <w:rFonts w:hint="eastAsia" w:ascii="仿宋" w:hAnsi="仿宋" w:eastAsia="仿宋"/>
                <w:sz w:val="24"/>
              </w:rPr>
              <w:t>菌株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81"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77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Cs/>
                <w:sz w:val="24"/>
              </w:rPr>
              <w:t>1-6</w:t>
            </w:r>
          </w:p>
        </w:tc>
        <w:tc>
          <w:tcPr>
            <w:tcW w:w="1643"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rPr>
              <w:t>质粒合成</w:t>
            </w:r>
          </w:p>
        </w:tc>
        <w:tc>
          <w:tcPr>
            <w:tcW w:w="100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rPr>
              <w:t>25</w:t>
            </w:r>
          </w:p>
        </w:tc>
        <w:tc>
          <w:tcPr>
            <w:tcW w:w="1000" w:type="pct"/>
            <w:vAlign w:val="center"/>
          </w:tcPr>
          <w:p>
            <w:pPr>
              <w:jc w:val="center"/>
              <w:rPr>
                <w:rFonts w:ascii="仿宋" w:hAnsi="仿宋" w:eastAsia="仿宋"/>
                <w:sz w:val="24"/>
              </w:rPr>
            </w:pPr>
            <w:r>
              <w:rPr>
                <w:rFonts w:hint="eastAsia" w:ascii="仿宋" w:hAnsi="仿宋" w:eastAsia="仿宋"/>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81"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77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Cs/>
                <w:sz w:val="24"/>
              </w:rPr>
              <w:t>1-7</w:t>
            </w:r>
          </w:p>
        </w:tc>
        <w:tc>
          <w:tcPr>
            <w:tcW w:w="1643"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rPr>
              <w:t>5hmc测序</w:t>
            </w:r>
          </w:p>
        </w:tc>
        <w:tc>
          <w:tcPr>
            <w:tcW w:w="100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rPr>
              <w:t>5</w:t>
            </w:r>
          </w:p>
        </w:tc>
        <w:tc>
          <w:tcPr>
            <w:tcW w:w="1000" w:type="pct"/>
            <w:vAlign w:val="center"/>
          </w:tcPr>
          <w:p>
            <w:pPr>
              <w:jc w:val="center"/>
              <w:rPr>
                <w:rFonts w:ascii="仿宋" w:hAnsi="仿宋" w:eastAsia="仿宋"/>
                <w:sz w:val="24"/>
              </w:rPr>
            </w:pPr>
            <w:r>
              <w:rPr>
                <w:rFonts w:hint="eastAsia" w:ascii="仿宋" w:hAnsi="仿宋" w:eastAsia="仿宋"/>
                <w:sz w:val="24"/>
              </w:rPr>
              <w:t>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81"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77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Cs/>
                <w:sz w:val="24"/>
              </w:rPr>
              <w:t>1-8</w:t>
            </w:r>
          </w:p>
        </w:tc>
        <w:tc>
          <w:tcPr>
            <w:tcW w:w="1643"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rPr>
              <w:t>M6A甲基化测序</w:t>
            </w:r>
          </w:p>
        </w:tc>
        <w:tc>
          <w:tcPr>
            <w:tcW w:w="100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sz w:val="24"/>
              </w:rPr>
              <w:t>40</w:t>
            </w:r>
          </w:p>
        </w:tc>
        <w:tc>
          <w:tcPr>
            <w:tcW w:w="1000" w:type="pct"/>
            <w:vAlign w:val="center"/>
          </w:tcPr>
          <w:p>
            <w:pPr>
              <w:jc w:val="center"/>
              <w:rPr>
                <w:rFonts w:ascii="仿宋" w:hAnsi="仿宋" w:eastAsia="仿宋"/>
                <w:sz w:val="24"/>
              </w:rPr>
            </w:pPr>
            <w:r>
              <w:rPr>
                <w:rFonts w:hint="eastAsia" w:ascii="仿宋" w:hAnsi="仿宋" w:eastAsia="仿宋"/>
                <w:sz w:val="24"/>
              </w:rPr>
              <w:t>样本</w:t>
            </w:r>
          </w:p>
        </w:tc>
      </w:tr>
    </w:tbl>
    <w:p>
      <w:pPr>
        <w:spacing w:line="360" w:lineRule="auto"/>
        <w:contextualSpacing/>
        <w:rPr>
          <w:rFonts w:ascii="仿宋" w:hAnsi="仿宋" w:eastAsia="仿宋"/>
          <w:sz w:val="24"/>
        </w:rPr>
      </w:pPr>
      <w:r>
        <w:rPr>
          <w:rFonts w:hint="eastAsia" w:ascii="仿宋" w:hAnsi="仿宋" w:eastAsia="仿宋"/>
          <w:b/>
          <w:bCs/>
          <w:sz w:val="24"/>
        </w:rPr>
        <w:t>（二）具体要求</w:t>
      </w:r>
    </w:p>
    <w:tbl>
      <w:tblPr>
        <w:tblStyle w:val="13"/>
        <w:tblW w:w="5619"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
      <w:tblGrid>
        <w:gridCol w:w="784"/>
        <w:gridCol w:w="1594"/>
        <w:gridCol w:w="1272"/>
        <w:gridCol w:w="766"/>
        <w:gridCol w:w="595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6"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b/>
                <w:sz w:val="24"/>
              </w:rPr>
            </w:pPr>
            <w:r>
              <w:rPr>
                <w:rFonts w:hint="eastAsia" w:ascii="仿宋" w:hAnsi="仿宋" w:eastAsia="仿宋"/>
                <w:b/>
                <w:sz w:val="24"/>
                <w:lang w:val="zh-TW" w:eastAsia="zh-TW"/>
              </w:rPr>
              <w:t>序号</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b/>
                <w:sz w:val="24"/>
              </w:rPr>
            </w:pPr>
            <w:r>
              <w:rPr>
                <w:rFonts w:hint="eastAsia" w:ascii="仿宋" w:hAnsi="仿宋" w:eastAsia="仿宋"/>
                <w:b/>
                <w:bCs/>
                <w:sz w:val="24"/>
                <w:lang w:val="zh-TW" w:eastAsia="zh-TW"/>
              </w:rPr>
              <w:t>测试化验加工的内容</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b/>
                <w:sz w:val="24"/>
              </w:rPr>
            </w:pPr>
            <w:r>
              <w:rPr>
                <w:rFonts w:hint="eastAsia" w:ascii="仿宋" w:hAnsi="仿宋" w:eastAsia="仿宋"/>
                <w:b/>
                <w:sz w:val="24"/>
                <w:lang w:val="zh-TW" w:eastAsia="zh-TW"/>
              </w:rPr>
              <w:t>计量单位</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b/>
                <w:sz w:val="24"/>
              </w:rPr>
            </w:pPr>
            <w:r>
              <w:rPr>
                <w:rFonts w:hint="eastAsia" w:ascii="仿宋" w:hAnsi="仿宋" w:eastAsia="仿宋"/>
                <w:b/>
                <w:sz w:val="24"/>
                <w:lang w:val="zh-TW" w:eastAsia="zh-TW"/>
              </w:rPr>
              <w:t>数量</w:t>
            </w:r>
          </w:p>
        </w:tc>
        <w:tc>
          <w:tcPr>
            <w:tcW w:w="287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b/>
                <w:sz w:val="24"/>
              </w:rPr>
            </w:pPr>
            <w:r>
              <w:rPr>
                <w:rFonts w:ascii="仿宋" w:hAnsi="仿宋" w:eastAsia="仿宋"/>
                <w:b/>
                <w:sz w:val="24"/>
                <w:lang w:val="zh-TW" w:eastAsia="zh-TW"/>
              </w:rPr>
              <w:t>技术参数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68"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ascii="仿宋" w:hAnsi="仿宋" w:eastAsia="仿宋"/>
                <w:sz w:val="24"/>
              </w:rPr>
              <w:t>1</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lang w:val="zh-TW" w:eastAsia="zh-TW"/>
              </w:rPr>
              <w:t>引物合成</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lang w:val="zh-TW" w:eastAsia="zh-TW"/>
              </w:rPr>
              <w:t>碱基</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20880</w:t>
            </w:r>
          </w:p>
        </w:tc>
        <w:tc>
          <w:tcPr>
            <w:tcW w:w="287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rPr>
                <w:rFonts w:ascii="仿宋" w:hAnsi="仿宋" w:eastAsia="仿宋"/>
                <w:sz w:val="24"/>
              </w:rPr>
            </w:pPr>
            <w:r>
              <w:rPr>
                <w:rFonts w:hint="eastAsia" w:ascii="仿宋" w:hAnsi="仿宋" w:eastAsia="仿宋"/>
                <w:sz w:val="24"/>
              </w:rPr>
              <w:t>利用全自动合成仪寡核苷酸序列，引物的总量一般以OD来表示，总量相对误差≤10%，序列匹配度达到100%。</w:t>
            </w:r>
            <w: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2</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DNA测序</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反应</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5540</w:t>
            </w:r>
          </w:p>
        </w:tc>
        <w:tc>
          <w:tcPr>
            <w:tcW w:w="287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rPr>
                <w:rFonts w:ascii="仿宋" w:hAnsi="仿宋" w:eastAsia="仿宋"/>
                <w:sz w:val="24"/>
              </w:rPr>
            </w:pPr>
            <w:r>
              <w:rPr>
                <w:rFonts w:hint="eastAsia" w:ascii="仿宋" w:hAnsi="仿宋" w:eastAsia="仿宋"/>
                <w:sz w:val="24"/>
              </w:rPr>
              <w:t>利用ABI 3730XL测序仪进行Sanger测序，正常样品，每个反应可读序列大约800bp，连续碱基读长（CRL）大于900，测序合格率95%以上，不合格结果免费重测。每个样品提供测序服务结果，包括DNA序列峰图和DNA序列原始图的电子文档。实验室分区明确符合测序实验要求，测序质量稳定;同时对于测序使用的引物可以免费 （-20）保存至少1年。数据结果可保存至少6年。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8"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3</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lang w:val="zh-TW" w:eastAsia="zh-TW"/>
              </w:rPr>
            </w:pPr>
            <w:r>
              <w:rPr>
                <w:rFonts w:hint="eastAsia" w:ascii="仿宋" w:hAnsi="仿宋" w:eastAsia="仿宋"/>
                <w:sz w:val="24"/>
                <w:lang w:val="zh-TW" w:eastAsia="zh-TW"/>
              </w:rPr>
              <w:t>探针合成</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lang w:val="zh-TW"/>
              </w:rPr>
            </w:pPr>
            <w:r>
              <w:rPr>
                <w:rFonts w:hint="eastAsia" w:ascii="仿宋" w:hAnsi="仿宋" w:eastAsia="仿宋"/>
                <w:sz w:val="24"/>
              </w:rPr>
              <w:t>探针</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118</w:t>
            </w:r>
          </w:p>
        </w:tc>
        <w:tc>
          <w:tcPr>
            <w:tcW w:w="287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rPr>
                <w:rFonts w:ascii="仿宋" w:hAnsi="仿宋" w:eastAsia="仿宋"/>
                <w:sz w:val="24"/>
              </w:rPr>
            </w:pPr>
            <w:r>
              <w:rPr>
                <w:rFonts w:hint="eastAsia" w:ascii="仿宋" w:hAnsi="仿宋" w:eastAsia="仿宋"/>
                <w:sz w:val="24"/>
              </w:rPr>
              <w:t>利用全自动合成仪寡核苷酸序列，并进行修饰，探针的总量一般以OD来表示，总量相对误差≤10%，序列匹配度达到100%，修饰基团定制序列完全一致。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16"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4</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基因组框架图</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菌株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100</w:t>
            </w:r>
          </w:p>
        </w:tc>
        <w:tc>
          <w:tcPr>
            <w:tcW w:w="287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tabs>
                <w:tab w:val="left" w:pos="11970"/>
              </w:tabs>
              <w:spacing w:before="0" w:line="360" w:lineRule="auto"/>
              <w:contextualSpacing/>
              <w:rPr>
                <w:rFonts w:ascii="仿宋" w:hAnsi="仿宋" w:eastAsia="仿宋"/>
              </w:rPr>
            </w:pPr>
            <w:r>
              <w:rPr>
                <w:rFonts w:hint="eastAsia" w:ascii="仿宋" w:hAnsi="仿宋" w:eastAsia="仿宋"/>
              </w:rPr>
              <w:t>1、测序平台：Illumina 二代测序平台，测序策略PE150 双端测序；</w:t>
            </w:r>
          </w:p>
          <w:p>
            <w:pPr>
              <w:pStyle w:val="6"/>
              <w:tabs>
                <w:tab w:val="left" w:pos="11970"/>
              </w:tabs>
              <w:spacing w:before="0" w:line="360" w:lineRule="auto"/>
              <w:contextualSpacing/>
              <w:rPr>
                <w:rFonts w:ascii="仿宋" w:hAnsi="仿宋" w:eastAsia="仿宋"/>
              </w:rPr>
            </w:pPr>
            <w:r>
              <w:rPr>
                <w:rFonts w:hint="eastAsia" w:ascii="仿宋" w:hAnsi="仿宋" w:eastAsia="仿宋"/>
              </w:rPr>
              <w:t>2、测序数据量：每个样品提供原始测序数据量≥1G clean data；</w:t>
            </w:r>
          </w:p>
          <w:p>
            <w:pPr>
              <w:pStyle w:val="6"/>
              <w:tabs>
                <w:tab w:val="left" w:pos="11970"/>
              </w:tabs>
              <w:spacing w:before="0" w:line="360" w:lineRule="auto"/>
              <w:contextualSpacing/>
              <w:rPr>
                <w:rFonts w:ascii="仿宋" w:hAnsi="仿宋" w:eastAsia="仿宋"/>
              </w:rPr>
            </w:pPr>
            <w:r>
              <w:rPr>
                <w:rFonts w:hint="eastAsia" w:ascii="仿宋" w:hAnsi="仿宋" w:eastAsia="仿宋"/>
              </w:rPr>
              <w:t>3、测序质量：</w:t>
            </w:r>
          </w:p>
          <w:p>
            <w:pPr>
              <w:pStyle w:val="6"/>
              <w:tabs>
                <w:tab w:val="left" w:pos="11970"/>
              </w:tabs>
              <w:spacing w:before="0" w:line="360" w:lineRule="auto"/>
              <w:contextualSpacing/>
              <w:rPr>
                <w:rFonts w:ascii="仿宋" w:hAnsi="仿宋" w:eastAsia="仿宋"/>
              </w:rPr>
            </w:pPr>
            <w:r>
              <w:rPr>
                <w:rFonts w:hint="eastAsia" w:ascii="仿宋" w:hAnsi="仿宋" w:eastAsia="仿宋"/>
              </w:rPr>
              <w:t>1）最终组装得到多条基因组scaffold，基因组覆盖度≥95%，基因区覆盖度≥98%；</w:t>
            </w:r>
          </w:p>
          <w:p>
            <w:pPr>
              <w:pStyle w:val="6"/>
              <w:tabs>
                <w:tab w:val="left" w:pos="11970"/>
              </w:tabs>
              <w:spacing w:before="0" w:line="360" w:lineRule="auto"/>
              <w:contextualSpacing/>
              <w:rPr>
                <w:rFonts w:ascii="仿宋" w:hAnsi="仿宋" w:eastAsia="仿宋"/>
                <w:color w:val="000000"/>
              </w:rPr>
            </w:pPr>
            <w:r>
              <w:rPr>
                <w:rFonts w:hint="eastAsia" w:ascii="仿宋" w:hAnsi="仿宋" w:eastAsia="仿宋"/>
              </w:rPr>
              <w:t>2）过滤后获得的有效数据在Q30水平（即碱基正确识别率超过99.9%）的碱基占总体碱基的比例≥</w:t>
            </w:r>
            <w:r>
              <w:rPr>
                <w:rFonts w:hint="eastAsia" w:ascii="仿宋" w:hAnsi="仿宋" w:eastAsia="仿宋"/>
                <w:color w:val="000000"/>
              </w:rPr>
              <w:t>90%；在Q20水平（即碱基正确识别率超过99%）的碱基占总体碱基的比例≥95%；</w:t>
            </w:r>
          </w:p>
          <w:p>
            <w:pPr>
              <w:spacing w:line="360" w:lineRule="auto"/>
              <w:contextualSpacing/>
              <w:rPr>
                <w:rFonts w:ascii="仿宋" w:hAnsi="仿宋" w:eastAsia="仿宋"/>
                <w:sz w:val="24"/>
              </w:rPr>
            </w:pPr>
            <w:r>
              <w:rPr>
                <w:rFonts w:hint="eastAsia" w:ascii="仿宋" w:hAnsi="仿宋" w:eastAsia="仿宋"/>
                <w:sz w:val="24"/>
              </w:rPr>
              <w:t>4、生物信息分析应包括：</w:t>
            </w:r>
          </w:p>
          <w:p>
            <w:pPr>
              <w:spacing w:line="360" w:lineRule="auto"/>
              <w:contextualSpacing/>
              <w:rPr>
                <w:rFonts w:ascii="仿宋" w:hAnsi="仿宋" w:eastAsia="仿宋"/>
                <w:sz w:val="24"/>
              </w:rPr>
            </w:pPr>
            <w:r>
              <w:rPr>
                <w:rFonts w:hint="eastAsia" w:ascii="仿宋" w:hAnsi="仿宋" w:eastAsia="仿宋"/>
                <w:sz w:val="24"/>
              </w:rPr>
              <w:t>（1）原始数据质量控制、样品组装、基因组注释、基因组组分分析（包括非编码RNA预测、重复序列分析、编码基因预测及其他ncRNA的预测）、基因功能注释（包括针对编码基因序列进行包括COG、GO、KEGG、NR、Pfam、SwissProt等数据库的功能注释）以及细菌致病性和耐药性分析（包括分泌蛋白预测、前噬菌体预测、基因岛预测、毒力因子(VFDR)注释、耐药基因(CARD)注释、CAZy注释、CRISPR预测）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01"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基因组完成图</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菌株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15</w:t>
            </w:r>
          </w:p>
        </w:tc>
        <w:tc>
          <w:tcPr>
            <w:tcW w:w="287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contextualSpacing/>
              <w:rPr>
                <w:rFonts w:ascii="仿宋" w:hAnsi="仿宋" w:eastAsia="仿宋"/>
                <w:sz w:val="24"/>
              </w:rPr>
            </w:pPr>
            <w:r>
              <w:rPr>
                <w:rFonts w:hint="eastAsia" w:ascii="仿宋" w:hAnsi="仿宋" w:eastAsia="仿宋"/>
                <w:sz w:val="24"/>
              </w:rPr>
              <w:t>1、测序平台</w:t>
            </w:r>
          </w:p>
          <w:p>
            <w:pPr>
              <w:spacing w:line="360" w:lineRule="auto"/>
              <w:contextualSpacing/>
              <w:rPr>
                <w:rFonts w:ascii="仿宋" w:hAnsi="仿宋" w:eastAsia="仿宋"/>
                <w:sz w:val="24"/>
              </w:rPr>
            </w:pPr>
            <w:r>
              <w:rPr>
                <w:rFonts w:hint="eastAsia" w:ascii="仿宋" w:hAnsi="仿宋" w:eastAsia="仿宋"/>
                <w:sz w:val="24"/>
              </w:rPr>
              <w:t>二代测序：Illumina NovaSeq平台，测序策略PE150双端测序；</w:t>
            </w:r>
          </w:p>
          <w:p>
            <w:pPr>
              <w:spacing w:line="360" w:lineRule="auto"/>
              <w:contextualSpacing/>
              <w:rPr>
                <w:rFonts w:ascii="仿宋" w:hAnsi="仿宋" w:eastAsia="仿宋"/>
                <w:sz w:val="24"/>
              </w:rPr>
            </w:pPr>
            <w:r>
              <w:rPr>
                <w:rFonts w:hint="eastAsia" w:ascii="仿宋" w:hAnsi="仿宋" w:eastAsia="仿宋"/>
                <w:sz w:val="24"/>
              </w:rPr>
              <w:t>三代测序：利用PacBio Sequel II/IIe平台；</w:t>
            </w:r>
          </w:p>
          <w:p>
            <w:pPr>
              <w:spacing w:line="360" w:lineRule="auto"/>
              <w:contextualSpacing/>
              <w:rPr>
                <w:rFonts w:ascii="仿宋" w:hAnsi="仿宋" w:eastAsia="仿宋"/>
                <w:sz w:val="24"/>
              </w:rPr>
            </w:pPr>
            <w:r>
              <w:rPr>
                <w:rFonts w:hint="eastAsia" w:ascii="仿宋" w:hAnsi="仿宋" w:eastAsia="仿宋"/>
                <w:sz w:val="24"/>
              </w:rPr>
              <w:t>2、测序数据量：平均每个样品测序产生的原始数据量≥1G；</w:t>
            </w:r>
          </w:p>
          <w:p>
            <w:pPr>
              <w:spacing w:line="360" w:lineRule="auto"/>
              <w:contextualSpacing/>
              <w:rPr>
                <w:rFonts w:ascii="仿宋" w:hAnsi="仿宋" w:eastAsia="仿宋"/>
                <w:sz w:val="24"/>
              </w:rPr>
            </w:pPr>
            <w:r>
              <w:rPr>
                <w:rFonts w:hint="eastAsia" w:ascii="仿宋" w:hAnsi="仿宋" w:eastAsia="仿宋"/>
                <w:sz w:val="24"/>
              </w:rPr>
              <w:t>3、测序质量</w:t>
            </w:r>
          </w:p>
          <w:p>
            <w:pPr>
              <w:spacing w:line="360" w:lineRule="auto"/>
              <w:contextualSpacing/>
              <w:rPr>
                <w:rFonts w:ascii="仿宋" w:hAnsi="仿宋" w:eastAsia="仿宋"/>
                <w:sz w:val="24"/>
              </w:rPr>
            </w:pPr>
            <w:r>
              <w:rPr>
                <w:rFonts w:hint="eastAsia" w:ascii="仿宋" w:hAnsi="仿宋" w:eastAsia="仿宋"/>
                <w:sz w:val="24"/>
              </w:rPr>
              <w:t>1）基因组覆盖度=100%，基因区覆盖度=100%，整体覆盖深度≥100×；</w:t>
            </w:r>
          </w:p>
          <w:p>
            <w:pPr>
              <w:spacing w:line="360" w:lineRule="auto"/>
              <w:contextualSpacing/>
              <w:rPr>
                <w:rFonts w:ascii="仿宋" w:hAnsi="仿宋" w:eastAsia="仿宋"/>
                <w:sz w:val="24"/>
              </w:rPr>
            </w:pPr>
            <w:r>
              <w:rPr>
                <w:rFonts w:hint="eastAsia" w:ascii="仿宋" w:hAnsi="仿宋" w:eastAsia="仿宋"/>
                <w:sz w:val="24"/>
              </w:rPr>
              <w:t>2）二代测序碱基数据过滤后获得的有效数据在Q30水平（即碱基正确识别率超过99.9%）的碱基占总体碱基的比例≥90%；在Q20水平（即碱基正确识别率超过99%）的碱基占总体碱基的比例≥95%；</w:t>
            </w:r>
          </w:p>
          <w:p>
            <w:pPr>
              <w:spacing w:line="360" w:lineRule="auto"/>
              <w:contextualSpacing/>
              <w:rPr>
                <w:rFonts w:ascii="仿宋" w:hAnsi="仿宋" w:eastAsia="仿宋"/>
                <w:sz w:val="24"/>
              </w:rPr>
            </w:pPr>
            <w:r>
              <w:rPr>
                <w:rFonts w:hint="eastAsia" w:ascii="仿宋" w:hAnsi="仿宋" w:eastAsia="仿宋"/>
                <w:sz w:val="24"/>
              </w:rPr>
              <w:t>3）1 contig，0 gap；</w:t>
            </w:r>
          </w:p>
          <w:p>
            <w:pPr>
              <w:spacing w:line="360" w:lineRule="auto"/>
              <w:contextualSpacing/>
              <w:rPr>
                <w:rFonts w:ascii="仿宋" w:hAnsi="仿宋" w:eastAsia="仿宋"/>
                <w:sz w:val="24"/>
              </w:rPr>
            </w:pPr>
            <w:r>
              <w:rPr>
                <w:rFonts w:hint="eastAsia" w:ascii="仿宋" w:hAnsi="仿宋" w:eastAsia="仿宋"/>
                <w:sz w:val="24"/>
              </w:rPr>
              <w:t>4、生物信息学分析：</w:t>
            </w:r>
          </w:p>
          <w:p>
            <w:pPr>
              <w:spacing w:line="360" w:lineRule="auto"/>
              <w:contextualSpacing/>
              <w:rPr>
                <w:rFonts w:ascii="仿宋" w:hAnsi="仿宋" w:eastAsia="仿宋"/>
                <w:sz w:val="24"/>
              </w:rPr>
            </w:pPr>
            <w:r>
              <w:rPr>
                <w:rFonts w:hint="eastAsia" w:ascii="仿宋" w:hAnsi="仿宋" w:eastAsia="仿宋"/>
                <w:sz w:val="24"/>
              </w:rPr>
              <w:t>（1）数据质控：对于二代数据，去除接头序列及低质量序列等；</w:t>
            </w:r>
          </w:p>
          <w:p>
            <w:pPr>
              <w:spacing w:line="360" w:lineRule="auto"/>
              <w:contextualSpacing/>
              <w:rPr>
                <w:rFonts w:ascii="仿宋" w:hAnsi="仿宋" w:eastAsia="仿宋"/>
                <w:sz w:val="24"/>
              </w:rPr>
            </w:pPr>
            <w:r>
              <w:rPr>
                <w:rFonts w:hint="eastAsia" w:ascii="仿宋" w:hAnsi="仿宋" w:eastAsia="仿宋"/>
                <w:sz w:val="24"/>
              </w:rPr>
              <w:t>（2）基因组组装及校正：使用Hifiasm/Canu等组装软件进行组装，得到最优组装结果；使用二代数据对组装结果进行校正，得到最终的组装结果；</w:t>
            </w:r>
          </w:p>
          <w:p>
            <w:pPr>
              <w:spacing w:line="360" w:lineRule="auto"/>
              <w:contextualSpacing/>
              <w:rPr>
                <w:rFonts w:ascii="仿宋" w:hAnsi="仿宋" w:eastAsia="仿宋"/>
                <w:sz w:val="24"/>
              </w:rPr>
            </w:pPr>
            <w:r>
              <w:rPr>
                <w:rFonts w:hint="eastAsia" w:ascii="仿宋" w:hAnsi="仿宋" w:eastAsia="仿宋"/>
                <w:sz w:val="24"/>
              </w:rPr>
              <w:t>（3）基因组注释：使用主流软件对新测序的基因组进行编码基因预测；</w:t>
            </w:r>
          </w:p>
          <w:p>
            <w:pPr>
              <w:spacing w:line="360" w:lineRule="auto"/>
              <w:contextualSpacing/>
              <w:rPr>
                <w:rFonts w:ascii="仿宋" w:hAnsi="仿宋" w:eastAsia="仿宋"/>
                <w:sz w:val="24"/>
              </w:rPr>
            </w:pPr>
            <w:r>
              <w:rPr>
                <w:rFonts w:hint="eastAsia" w:ascii="仿宋" w:hAnsi="仿宋" w:eastAsia="仿宋"/>
                <w:sz w:val="24"/>
              </w:rPr>
              <w:t xml:space="preserve">（4）基因组组分分析：分析样品基因组的成分，包括非编码RNA预测、重复序列分析、编码基因预测； </w:t>
            </w:r>
          </w:p>
          <w:p>
            <w:pPr>
              <w:spacing w:line="360" w:lineRule="auto"/>
              <w:contextualSpacing/>
              <w:rPr>
                <w:rFonts w:ascii="仿宋" w:hAnsi="仿宋" w:eastAsia="仿宋"/>
                <w:sz w:val="24"/>
              </w:rPr>
            </w:pPr>
            <w:r>
              <w:rPr>
                <w:rFonts w:hint="eastAsia" w:ascii="仿宋" w:hAnsi="仿宋" w:eastAsia="仿宋"/>
                <w:sz w:val="24"/>
              </w:rPr>
              <w:t>（5）基因功能注释：针对编码基因序列进行包括COG、GO、KEGG、NR、Pfam、SwissProt等数据库的功能注释；</w:t>
            </w:r>
          </w:p>
          <w:p>
            <w:pPr>
              <w:spacing w:line="360" w:lineRule="auto"/>
              <w:contextualSpacing/>
              <w:rPr>
                <w:rFonts w:ascii="仿宋" w:hAnsi="仿宋" w:eastAsia="仿宋"/>
                <w:sz w:val="24"/>
              </w:rPr>
            </w:pPr>
            <w:r>
              <w:rPr>
                <w:rFonts w:hint="eastAsia" w:ascii="仿宋" w:hAnsi="仿宋" w:eastAsia="仿宋"/>
                <w:sz w:val="24"/>
              </w:rPr>
              <w:t>（6）细菌致病性和耐药性分析:分泌蛋白预测、前噬菌体预测、基因岛预测、毒力因子(VFDR)注释、耐药基因(CARD)注释、antismash注释、CAZy注释、CRISPR预测；</w:t>
            </w:r>
          </w:p>
          <w:p>
            <w:pPr>
              <w:spacing w:line="360" w:lineRule="auto"/>
              <w:contextualSpacing/>
              <w:rPr>
                <w:rFonts w:ascii="仿宋" w:hAnsi="仿宋" w:eastAsia="仿宋"/>
                <w:sz w:val="24"/>
              </w:rPr>
            </w:pPr>
            <w:r>
              <w:rPr>
                <w:rFonts w:hint="eastAsia" w:ascii="仿宋" w:hAnsi="仿宋" w:eastAsia="仿宋"/>
                <w:sz w:val="24"/>
              </w:rPr>
              <w:t>（7）基因组圈图展示；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43"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6</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质粒合成</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25</w:t>
            </w:r>
          </w:p>
        </w:tc>
        <w:tc>
          <w:tcPr>
            <w:tcW w:w="287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ind w:left="-40"/>
              <w:contextualSpacing/>
              <w:rPr>
                <w:rFonts w:ascii="仿宋" w:hAnsi="仿宋" w:eastAsia="仿宋"/>
                <w:sz w:val="24"/>
              </w:rPr>
            </w:pPr>
            <w:r>
              <w:rPr>
                <w:rFonts w:hint="eastAsia" w:ascii="仿宋" w:hAnsi="仿宋" w:eastAsia="仿宋" w:cs="仿宋"/>
                <w:sz w:val="24"/>
              </w:rPr>
              <w:t>采用载体构建的方法进行质粒合成，提供sanger测序结果保证目的序列100%准确，琼脂糖凝胶电泳酶切验证条带大小正确。提供质粒冻干粉及甘油菌，4-5天交付质粒。</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7</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5hmc测序</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样本</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5</w:t>
            </w:r>
          </w:p>
        </w:tc>
        <w:tc>
          <w:tcPr>
            <w:tcW w:w="287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rPr>
                <w:rFonts w:ascii="仿宋" w:hAnsi="仿宋" w:eastAsia="仿宋" w:cs="仿宋"/>
                <w:sz w:val="24"/>
              </w:rPr>
            </w:pPr>
            <w:r>
              <w:rPr>
                <w:rFonts w:hint="eastAsia" w:ascii="仿宋" w:hAnsi="仿宋" w:eastAsia="仿宋" w:cs="仿宋"/>
                <w:sz w:val="24"/>
              </w:rPr>
              <w:t>1、测序采用Illumina Nova Seq 测序平台，测序模式为：PE150双端测序；数据量不低于6Gb，平均Q30≥85%。</w:t>
            </w:r>
          </w:p>
          <w:p>
            <w:pPr>
              <w:widowControl/>
              <w:spacing w:line="360" w:lineRule="auto"/>
              <w:contextualSpacing/>
              <w:rPr>
                <w:rFonts w:ascii="仿宋" w:hAnsi="仿宋" w:eastAsia="仿宋"/>
                <w:sz w:val="24"/>
              </w:rPr>
            </w:pPr>
            <w:r>
              <w:rPr>
                <w:rFonts w:hint="eastAsia" w:ascii="仿宋" w:hAnsi="仿宋" w:eastAsia="仿宋" w:cs="仿宋"/>
                <w:sz w:val="24"/>
              </w:rPr>
              <w:t>2、生物信息学分析包括标准分析和高级分析；标准分析包括：测序数据质量评估、与参考基因组比对、5hmcPeak峰Calling、5hmcPeak图谱分析、组间差异5hmcPeak分析、差异5hmcPeak基因分析；高级分析包括：多组学整合关联分析以及其他定制化分析。</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931"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8</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M6A甲基化测序</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样本</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40</w:t>
            </w:r>
          </w:p>
        </w:tc>
        <w:tc>
          <w:tcPr>
            <w:tcW w:w="287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rPr>
                <w:rFonts w:ascii="仿宋" w:hAnsi="仿宋" w:eastAsia="仿宋" w:cs="仿宋"/>
                <w:sz w:val="24"/>
              </w:rPr>
            </w:pPr>
            <w:r>
              <w:rPr>
                <w:rFonts w:hint="eastAsia" w:ascii="仿宋" w:hAnsi="仿宋" w:eastAsia="仿宋" w:cs="仿宋"/>
                <w:sz w:val="24"/>
              </w:rPr>
              <w:t>1、测序采用Illumina Nova Seq 测序平台，测序模式为：PE150双端测序；测序数据：</w:t>
            </w:r>
            <w:r>
              <w:rPr>
                <w:rFonts w:hint="eastAsia"/>
              </w:rPr>
              <w:t>≥</w:t>
            </w:r>
            <w:r>
              <w:rPr>
                <w:rFonts w:hint="eastAsia" w:ascii="仿宋" w:hAnsi="仿宋" w:eastAsia="仿宋" w:cs="仿宋"/>
                <w:sz w:val="24"/>
              </w:rPr>
              <w:t>20G（IP10G+Input10G）。数据量不低于6Gb，平均Q30≥85%。</w:t>
            </w:r>
          </w:p>
          <w:p>
            <w:pPr>
              <w:widowControl/>
              <w:spacing w:line="360" w:lineRule="auto"/>
              <w:contextualSpacing/>
              <w:rPr>
                <w:rFonts w:ascii="仿宋" w:hAnsi="仿宋" w:eastAsia="仿宋"/>
                <w:sz w:val="24"/>
              </w:rPr>
            </w:pPr>
            <w:r>
              <w:rPr>
                <w:rFonts w:hint="eastAsia" w:ascii="仿宋" w:hAnsi="仿宋" w:eastAsia="仿宋" w:cs="仿宋"/>
                <w:sz w:val="24"/>
              </w:rPr>
              <w:t>2、生物信息学分析包括read的分布和peak分析。在全基因组范围对peak进行扫描，对扫描到的peak进行基因注释，GO、KEGG Pathway富集分析以及motif分析。重点关注m6A修饰的偏好性。对于多个样品，还可以做样品间差异peak的鉴定，基因注释，GO、KEGG Pathway富集分析以及motif分析。另外，结合RNA-seq的结果，可以进行联合分析，深入解析m6A修饰位点的调控机制，以及其他个性化的分析。</w:t>
            </w:r>
          </w:p>
        </w:tc>
      </w:tr>
    </w:tbl>
    <w:p>
      <w:pPr>
        <w:spacing w:line="360" w:lineRule="auto"/>
        <w:contextualSpacing/>
        <w:rPr>
          <w:rFonts w:ascii="仿宋" w:hAnsi="仿宋" w:eastAsia="仿宋"/>
          <w:b/>
          <w:sz w:val="24"/>
        </w:rPr>
      </w:pPr>
      <w:r>
        <w:rPr>
          <w:rFonts w:hint="eastAsia" w:ascii="仿宋" w:hAnsi="仿宋" w:eastAsia="仿宋"/>
          <w:b/>
          <w:bCs/>
          <w:sz w:val="24"/>
        </w:rPr>
        <w:t>（三）其他相关要求</w:t>
      </w:r>
    </w:p>
    <w:p>
      <w:pPr>
        <w:spacing w:line="360" w:lineRule="auto"/>
        <w:contextualSpacing/>
        <w:rPr>
          <w:rFonts w:ascii="仿宋" w:hAnsi="仿宋" w:eastAsia="仿宋"/>
          <w:b/>
          <w:sz w:val="24"/>
        </w:rPr>
      </w:pPr>
      <w:r>
        <w:rPr>
          <w:rFonts w:hint="eastAsia" w:ascii="仿宋" w:hAnsi="仿宋" w:eastAsia="仿宋"/>
          <w:bCs/>
          <w:sz w:val="24"/>
        </w:rPr>
        <w:t>1、</w:t>
      </w:r>
      <w:r>
        <w:rPr>
          <w:rFonts w:hint="eastAsia" w:ascii="仿宋" w:hAnsi="仿宋" w:eastAsia="仿宋"/>
          <w:b/>
          <w:sz w:val="24"/>
        </w:rPr>
        <w:t>团队人员要求</w:t>
      </w:r>
    </w:p>
    <w:p>
      <w:pPr>
        <w:spacing w:line="360" w:lineRule="auto"/>
        <w:contextualSpacing/>
        <w:rPr>
          <w:rFonts w:ascii="仿宋" w:hAnsi="仿宋" w:eastAsia="仿宋"/>
          <w:sz w:val="24"/>
        </w:rPr>
      </w:pPr>
      <w:r>
        <w:rPr>
          <w:rFonts w:hint="eastAsia" w:ascii="仿宋" w:hAnsi="仿宋" w:eastAsia="仿宋"/>
          <w:sz w:val="24"/>
        </w:rPr>
        <w:t>项目团队成员均具备相关工作经验且管理与实施需分工明确。其中：</w:t>
      </w:r>
    </w:p>
    <w:p>
      <w:pPr>
        <w:spacing w:line="360" w:lineRule="auto"/>
        <w:contextualSpacing/>
        <w:rPr>
          <w:rFonts w:ascii="仿宋" w:hAnsi="仿宋" w:eastAsia="仿宋"/>
          <w:sz w:val="24"/>
        </w:rPr>
      </w:pPr>
      <w:r>
        <w:rPr>
          <w:rFonts w:ascii="仿宋" w:hAnsi="仿宋" w:eastAsia="仿宋"/>
          <w:sz w:val="24"/>
        </w:rPr>
        <w:t>1.1</w:t>
      </w:r>
      <w:r>
        <w:rPr>
          <w:rFonts w:hint="eastAsia" w:ascii="仿宋" w:hAnsi="仿宋" w:eastAsia="仿宋"/>
          <w:sz w:val="24"/>
        </w:rPr>
        <w:t>、项目管理人员1人，需具有博士学历或高级技术职务职称，5年以上同类项目工作经验，</w:t>
      </w:r>
      <w:r>
        <w:rPr>
          <w:rFonts w:hint="eastAsia" w:ascii="仿宋" w:hAnsi="仿宋" w:eastAsia="仿宋"/>
          <w:bCs/>
          <w:sz w:val="24"/>
        </w:rPr>
        <w:t>负责项目跟进及整体项目质量及进度把控，以提供管理人员简介、学历学位或职称证书为准；</w:t>
      </w:r>
    </w:p>
    <w:p>
      <w:pPr>
        <w:spacing w:line="360" w:lineRule="auto"/>
        <w:contextualSpacing/>
        <w:rPr>
          <w:rStyle w:val="17"/>
          <w:rFonts w:ascii="仿宋" w:hAnsi="仿宋" w:eastAsia="仿宋"/>
          <w:sz w:val="24"/>
          <w:szCs w:val="24"/>
        </w:rPr>
      </w:pPr>
      <w:r>
        <w:rPr>
          <w:rFonts w:ascii="仿宋" w:hAnsi="仿宋" w:eastAsia="仿宋"/>
          <w:sz w:val="24"/>
        </w:rPr>
        <w:t>1.2</w:t>
      </w:r>
      <w:r>
        <w:rPr>
          <w:rFonts w:hint="eastAsia" w:ascii="仿宋" w:hAnsi="仿宋" w:eastAsia="仿宋"/>
          <w:sz w:val="24"/>
        </w:rPr>
        <w:t>、项目实施团队人员至少8人，需具有硕士及以上学历，有5年以上的项目经验，针对本项目分工明确合理，</w:t>
      </w:r>
      <w:r>
        <w:rPr>
          <w:rFonts w:hint="eastAsia" w:ascii="仿宋" w:hAnsi="仿宋" w:eastAsia="仿宋"/>
          <w:bCs/>
          <w:sz w:val="24"/>
        </w:rPr>
        <w:t>以提供包括详细成员职责的项目人员名单，项目人员学历学位或相关证书为准。</w:t>
      </w:r>
    </w:p>
    <w:p>
      <w:pPr>
        <w:spacing w:line="360" w:lineRule="auto"/>
        <w:contextualSpacing/>
        <w:rPr>
          <w:rStyle w:val="17"/>
          <w:rFonts w:ascii="仿宋" w:hAnsi="仿宋" w:eastAsia="仿宋"/>
          <w:sz w:val="24"/>
          <w:szCs w:val="24"/>
        </w:rPr>
      </w:pPr>
      <w:r>
        <w:rPr>
          <w:rStyle w:val="17"/>
          <w:rFonts w:ascii="仿宋" w:hAnsi="仿宋" w:eastAsia="仿宋"/>
          <w:sz w:val="24"/>
          <w:szCs w:val="24"/>
        </w:rPr>
        <w:t>1.3</w:t>
      </w:r>
      <w:r>
        <w:rPr>
          <w:rStyle w:val="17"/>
          <w:rFonts w:hint="eastAsia" w:ascii="仿宋" w:hAnsi="仿宋" w:eastAsia="仿宋"/>
          <w:sz w:val="24"/>
          <w:szCs w:val="24"/>
        </w:rPr>
        <w:t>、项目专门联系人员</w:t>
      </w:r>
      <w:r>
        <w:rPr>
          <w:rFonts w:hint="eastAsia" w:ascii="仿宋" w:hAnsi="仿宋" w:eastAsia="仿宋"/>
          <w:sz w:val="24"/>
        </w:rPr>
        <w:t>1</w:t>
      </w:r>
      <w:r>
        <w:rPr>
          <w:rStyle w:val="17"/>
          <w:rFonts w:hint="eastAsia" w:ascii="仿宋" w:hAnsi="仿宋" w:eastAsia="仿宋"/>
          <w:sz w:val="24"/>
          <w:szCs w:val="24"/>
        </w:rPr>
        <w:t>人，至少</w:t>
      </w:r>
      <w:r>
        <w:rPr>
          <w:rFonts w:hint="eastAsia" w:ascii="仿宋" w:hAnsi="仿宋" w:eastAsia="仿宋"/>
          <w:sz w:val="24"/>
        </w:rPr>
        <w:t>1</w:t>
      </w:r>
      <w:r>
        <w:rPr>
          <w:rStyle w:val="17"/>
          <w:rFonts w:hint="eastAsia" w:ascii="仿宋" w:hAnsi="仿宋" w:eastAsia="仿宋"/>
          <w:sz w:val="24"/>
          <w:szCs w:val="24"/>
        </w:rPr>
        <w:t>人为技术人员，具备同类项目经验，定期向采购方汇报项目进度情况，提供联系人员电话及邮箱。</w:t>
      </w:r>
    </w:p>
    <w:p>
      <w:pPr>
        <w:spacing w:line="360" w:lineRule="auto"/>
        <w:contextualSpacing/>
        <w:rPr>
          <w:rFonts w:ascii="仿宋" w:hAnsi="仿宋" w:eastAsia="仿宋"/>
          <w:sz w:val="24"/>
        </w:rPr>
      </w:pPr>
      <w:r>
        <w:rPr>
          <w:rFonts w:ascii="仿宋" w:hAnsi="仿宋" w:eastAsia="仿宋"/>
          <w:bCs/>
          <w:sz w:val="24"/>
        </w:rPr>
        <w:t>2</w:t>
      </w:r>
      <w:r>
        <w:rPr>
          <w:rFonts w:hint="eastAsia" w:ascii="仿宋" w:hAnsi="仿宋" w:eastAsia="仿宋"/>
          <w:bCs/>
          <w:sz w:val="24"/>
        </w:rPr>
        <w:t>、服务周期：样本检测全部合格起至项目结题</w:t>
      </w:r>
      <w:r>
        <w:rPr>
          <w:rFonts w:ascii="仿宋" w:hAnsi="仿宋" w:eastAsia="仿宋"/>
          <w:bCs/>
          <w:sz w:val="24"/>
        </w:rPr>
        <w:t>365个自然日</w:t>
      </w:r>
      <w:r>
        <w:rPr>
          <w:rFonts w:hint="eastAsia" w:ascii="仿宋" w:hAnsi="仿宋" w:eastAsia="仿宋"/>
          <w:bCs/>
          <w:sz w:val="24"/>
        </w:rPr>
        <w:t>。</w:t>
      </w:r>
    </w:p>
    <w:p>
      <w:pPr>
        <w:spacing w:line="360" w:lineRule="auto"/>
        <w:contextualSpacing/>
        <w:rPr>
          <w:rFonts w:ascii="仿宋" w:hAnsi="仿宋" w:eastAsia="仿宋"/>
          <w:sz w:val="24"/>
        </w:rPr>
      </w:pPr>
      <w:r>
        <w:rPr>
          <w:rFonts w:hint="eastAsia" w:ascii="仿宋" w:hAnsi="仿宋" w:eastAsia="仿宋"/>
          <w:sz w:val="24"/>
        </w:rPr>
        <w:t>3、需安排专人上门接收样品，并提供取样人员的社保证明。</w:t>
      </w:r>
    </w:p>
    <w:p>
      <w:pPr>
        <w:spacing w:line="360" w:lineRule="auto"/>
        <w:contextualSpacing/>
        <w:rPr>
          <w:rFonts w:ascii="仿宋" w:hAnsi="仿宋" w:eastAsia="仿宋"/>
          <w:sz w:val="24"/>
        </w:rPr>
      </w:pPr>
      <w:r>
        <w:rPr>
          <w:rFonts w:hint="eastAsia" w:ascii="仿宋" w:hAnsi="仿宋" w:eastAsia="仿宋"/>
          <w:sz w:val="24"/>
        </w:rPr>
        <w:t>4、合同签订后根据采购人具体需求分批次把样品交付给投标人，收到样品后按照合同要求时间交付相应结果。</w:t>
      </w:r>
    </w:p>
    <w:p>
      <w:pPr>
        <w:spacing w:line="360" w:lineRule="auto"/>
        <w:contextualSpacing/>
        <w:rPr>
          <w:rFonts w:ascii="仿宋" w:hAnsi="仿宋" w:eastAsia="仿宋"/>
          <w:sz w:val="24"/>
        </w:rPr>
      </w:pPr>
      <w:r>
        <w:rPr>
          <w:rFonts w:hint="eastAsia" w:ascii="仿宋" w:hAnsi="仿宋" w:eastAsia="仿宋"/>
          <w:sz w:val="24"/>
        </w:rPr>
        <w:t>5、结果 (含检测序列) 遵照生物安全和信息保密相关规定按采购人要求发往指定服务地点。</w:t>
      </w:r>
    </w:p>
    <w:p>
      <w:pPr>
        <w:spacing w:line="360" w:lineRule="auto"/>
        <w:contextualSpacing/>
        <w:rPr>
          <w:rFonts w:ascii="仿宋" w:hAnsi="仿宋" w:eastAsia="仿宋"/>
          <w:sz w:val="24"/>
        </w:rPr>
      </w:pPr>
      <w:r>
        <w:rPr>
          <w:rFonts w:hint="eastAsia" w:ascii="仿宋" w:hAnsi="仿宋" w:eastAsia="仿宋"/>
          <w:sz w:val="24"/>
        </w:rPr>
        <w:t>6、采购人有权要求投标人提供本服务检测过程中的任何相关数据。</w:t>
      </w:r>
    </w:p>
    <w:p>
      <w:pPr>
        <w:spacing w:line="360" w:lineRule="auto"/>
        <w:contextualSpacing/>
        <w:rPr>
          <w:rFonts w:ascii="仿宋" w:hAnsi="仿宋" w:eastAsia="仿宋"/>
          <w:sz w:val="24"/>
        </w:rPr>
      </w:pPr>
      <w:r>
        <w:rPr>
          <w:rFonts w:hint="eastAsia" w:ascii="仿宋" w:hAnsi="仿宋" w:eastAsia="仿宋"/>
          <w:sz w:val="24"/>
        </w:rPr>
        <w:t>7、售后服务：售后服务专人跟进，可建立微信群方便采购人随时联系。</w:t>
      </w:r>
    </w:p>
    <w:p>
      <w:pPr>
        <w:spacing w:line="360" w:lineRule="auto"/>
        <w:contextualSpacing/>
        <w:rPr>
          <w:rFonts w:ascii="仿宋" w:hAnsi="仿宋" w:eastAsia="仿宋"/>
          <w:sz w:val="24"/>
        </w:rPr>
      </w:pPr>
      <w:r>
        <w:rPr>
          <w:rFonts w:hint="eastAsia" w:ascii="仿宋" w:hAnsi="仿宋" w:eastAsia="仿宋"/>
          <w:bCs/>
          <w:sz w:val="24"/>
        </w:rPr>
        <w:t>8、其他：未经采购人同意，投标人不得将完成相关检测后剩余的样本移交第三方机构或用于危害国家安全事宜。测序数据知识产权为采购人独有，未经采购人同意，投标人不得私自公开或使用。</w:t>
      </w:r>
    </w:p>
    <w:p>
      <w:pPr>
        <w:pStyle w:val="12"/>
        <w:jc w:val="both"/>
        <w:rPr>
          <w:b w:val="0"/>
        </w:rPr>
      </w:pPr>
      <w:r>
        <w:rPr>
          <w:rFonts w:hint="eastAsia"/>
          <w:b w:val="0"/>
        </w:rPr>
        <w:t>9、技术履约验收内容：采购人按照国家有关规定以及招标文件的要求、投标人的投标文件及承诺与本项目合同约定标准进行验收。</w:t>
      </w:r>
    </w:p>
    <w:p>
      <w:pPr>
        <w:pStyle w:val="12"/>
      </w:pPr>
    </w:p>
    <w:p>
      <w:pPr>
        <w:widowControl/>
        <w:jc w:val="left"/>
        <w:rPr>
          <w:rFonts w:ascii="仿宋" w:hAnsi="仿宋" w:eastAsia="仿宋"/>
          <w:b/>
          <w:sz w:val="24"/>
          <w:szCs w:val="20"/>
        </w:rPr>
      </w:pPr>
      <w:r>
        <w:rPr>
          <w:b/>
        </w:rPr>
        <w:br w:type="page"/>
      </w:r>
    </w:p>
    <w:p>
      <w:pPr>
        <w:pStyle w:val="12"/>
      </w:pPr>
      <w:r>
        <w:t>第</w:t>
      </w:r>
      <w:r>
        <w:rPr>
          <w:rFonts w:hint="eastAsia"/>
        </w:rPr>
        <w:t>2</w:t>
      </w:r>
      <w:r>
        <w:t>包</w:t>
      </w:r>
      <w:r>
        <w:rPr>
          <w:rFonts w:hint="eastAsia"/>
        </w:rPr>
        <w:t xml:space="preserve"> 测试化验加工委托服务2</w:t>
      </w:r>
    </w:p>
    <w:p>
      <w:pPr>
        <w:spacing w:line="360" w:lineRule="auto"/>
        <w:contextualSpacing/>
        <w:rPr>
          <w:rFonts w:ascii="仿宋" w:hAnsi="仿宋" w:eastAsia="仿宋"/>
          <w:sz w:val="24"/>
        </w:rPr>
      </w:pPr>
      <w:r>
        <w:rPr>
          <w:rFonts w:hint="eastAsia" w:ascii="仿宋" w:hAnsi="仿宋" w:eastAsia="仿宋"/>
          <w:b/>
          <w:bCs/>
          <w:sz w:val="24"/>
        </w:rPr>
        <w:t>（一）服务内容</w:t>
      </w:r>
    </w:p>
    <w:p>
      <w:pPr>
        <w:spacing w:line="360" w:lineRule="auto"/>
        <w:ind w:firstLine="480" w:firstLineChars="200"/>
        <w:contextualSpacing/>
        <w:rPr>
          <w:rFonts w:ascii="仿宋" w:hAnsi="仿宋" w:eastAsia="仿宋"/>
          <w:sz w:val="24"/>
        </w:rPr>
      </w:pPr>
      <w:r>
        <w:rPr>
          <w:rFonts w:hint="eastAsia" w:ascii="仿宋" w:hAnsi="仿宋" w:eastAsia="仿宋"/>
          <w:sz w:val="24"/>
        </w:rPr>
        <w:t>投标人应对采购人提供的样本进行细菌代谢组、电镜观察、炎症因子芯片、病理学分析、宏基因组测序、转录组测序、16S rDNA测序、单细胞ATAC-seq、Chip-Seq、RNA测序、高通量DNA测序、碱基测序、特殊转录组、全基因组DNA甲基化、多因子定制芯片检测、靶向脂质代谢组学分析、空间转录组测序服务。</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798"/>
        <w:gridCol w:w="3817"/>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726" w:type="pct"/>
            <w:vAlign w:val="center"/>
          </w:tcPr>
          <w:p>
            <w:pPr>
              <w:jc w:val="center"/>
              <w:rPr>
                <w:rFonts w:ascii="仿宋" w:hAnsi="仿宋" w:eastAsia="仿宋"/>
                <w:b/>
                <w:bCs/>
                <w:sz w:val="24"/>
              </w:rPr>
            </w:pPr>
            <w:r>
              <w:rPr>
                <w:rFonts w:hint="eastAsia" w:ascii="仿宋" w:hAnsi="仿宋" w:eastAsia="仿宋"/>
                <w:b/>
                <w:bCs/>
                <w:sz w:val="24"/>
              </w:rPr>
              <w:t>包号</w:t>
            </w:r>
          </w:p>
        </w:tc>
        <w:tc>
          <w:tcPr>
            <w:tcW w:w="968" w:type="pct"/>
            <w:vAlign w:val="center"/>
          </w:tcPr>
          <w:p>
            <w:pPr>
              <w:jc w:val="center"/>
              <w:rPr>
                <w:rFonts w:ascii="仿宋" w:hAnsi="仿宋" w:eastAsia="仿宋"/>
                <w:b/>
                <w:color w:val="000000"/>
                <w:sz w:val="24"/>
              </w:rPr>
            </w:pPr>
            <w:r>
              <w:rPr>
                <w:rFonts w:hint="eastAsia" w:ascii="仿宋" w:hAnsi="仿宋" w:eastAsia="仿宋"/>
                <w:b/>
                <w:color w:val="000000"/>
                <w:sz w:val="24"/>
              </w:rPr>
              <w:t>品目号</w:t>
            </w:r>
          </w:p>
        </w:tc>
        <w:tc>
          <w:tcPr>
            <w:tcW w:w="2055" w:type="pct"/>
            <w:vAlign w:val="center"/>
          </w:tcPr>
          <w:p>
            <w:pPr>
              <w:jc w:val="center"/>
              <w:rPr>
                <w:rFonts w:ascii="仿宋" w:hAnsi="仿宋" w:eastAsia="仿宋"/>
                <w:b/>
                <w:color w:val="000000"/>
                <w:sz w:val="24"/>
              </w:rPr>
            </w:pPr>
            <w:r>
              <w:rPr>
                <w:rFonts w:hint="eastAsia" w:ascii="仿宋" w:hAnsi="仿宋" w:eastAsia="仿宋"/>
                <w:b/>
                <w:bCs/>
                <w:sz w:val="24"/>
                <w:lang w:val="zh-TW" w:eastAsia="zh-TW"/>
              </w:rPr>
              <w:t>测试化验加工的内容</w:t>
            </w:r>
          </w:p>
        </w:tc>
        <w:tc>
          <w:tcPr>
            <w:tcW w:w="1251" w:type="pct"/>
            <w:vAlign w:val="center"/>
          </w:tcPr>
          <w:p>
            <w:pPr>
              <w:jc w:val="center"/>
              <w:rPr>
                <w:rFonts w:ascii="仿宋" w:hAnsi="仿宋" w:eastAsia="仿宋"/>
                <w:b/>
                <w:color w:val="000000"/>
                <w:sz w:val="24"/>
              </w:rPr>
            </w:pPr>
            <w:r>
              <w:rPr>
                <w:rFonts w:hint="eastAsia" w:ascii="仿宋" w:hAnsi="仿宋" w:eastAsia="仿宋"/>
                <w:b/>
                <w:color w:val="00000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restar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Cs/>
                <w:sz w:val="24"/>
              </w:rPr>
              <w:t>2</w:t>
            </w: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2-1</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细菌代谢组</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60</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2-2</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电镜观察</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30</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2-3</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炎症因子芯片</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120</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2-4</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病理学分析</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70</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2-5</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宏基因组测序</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32</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2-6</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转录组测序</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92</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2-7</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16S rDNA测序</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140</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2-8</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单细胞ATAC-seq</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10</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2-9</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Chip-Seq</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15</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2-10</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RNA测序</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80</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2-11</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高通量DNA测序</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35</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2-12</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碱基测序</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3000</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2-13</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特殊转录组</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120</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2-14</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全基因组DNA甲基化</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120</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2-15</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多因子定制芯片检测</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720</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2-16</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靶向脂质代谢组学分析</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10</w:t>
            </w:r>
            <w:r>
              <w:rPr>
                <w:rFonts w:ascii="仿宋" w:hAnsi="仿宋" w:eastAsia="仿宋"/>
                <w:color w:val="000000"/>
                <w:sz w:val="24"/>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6" w:type="pct"/>
            <w:vMerge w:val="continue"/>
            <w:vAlign w:val="center"/>
          </w:tcPr>
          <w:p>
            <w:pPr>
              <w:jc w:val="center"/>
              <w:rPr>
                <w:rFonts w:ascii="仿宋" w:hAnsi="仿宋" w:eastAsia="仿宋"/>
                <w:color w:val="000000" w:themeColor="text1"/>
                <w:sz w:val="24"/>
                <w14:textFill>
                  <w14:solidFill>
                    <w14:schemeClr w14:val="tx1"/>
                  </w14:solidFill>
                </w14:textFill>
              </w:rPr>
            </w:pPr>
          </w:p>
        </w:tc>
        <w:tc>
          <w:tcPr>
            <w:tcW w:w="96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2-17</w:t>
            </w:r>
          </w:p>
        </w:tc>
        <w:tc>
          <w:tcPr>
            <w:tcW w:w="2055"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空间转录组测序</w:t>
            </w:r>
          </w:p>
        </w:tc>
        <w:tc>
          <w:tcPr>
            <w:tcW w:w="1251"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sz w:val="24"/>
              </w:rPr>
              <w:t>2</w:t>
            </w:r>
            <w:r>
              <w:rPr>
                <w:rFonts w:ascii="仿宋" w:hAnsi="仿宋" w:eastAsia="仿宋"/>
                <w:color w:val="000000"/>
                <w:sz w:val="24"/>
              </w:rPr>
              <w:t>例</w:t>
            </w:r>
          </w:p>
        </w:tc>
      </w:tr>
    </w:tbl>
    <w:p>
      <w:pPr>
        <w:spacing w:line="360" w:lineRule="auto"/>
        <w:contextualSpacing/>
        <w:rPr>
          <w:rFonts w:ascii="仿宋" w:hAnsi="仿宋" w:eastAsia="仿宋"/>
          <w:sz w:val="24"/>
        </w:rPr>
      </w:pPr>
      <w:r>
        <w:rPr>
          <w:rFonts w:hint="eastAsia" w:ascii="仿宋" w:hAnsi="仿宋" w:eastAsia="仿宋"/>
          <w:b/>
          <w:bCs/>
          <w:sz w:val="24"/>
        </w:rPr>
        <w:t>（二）具体要求</w:t>
      </w:r>
    </w:p>
    <w:p>
      <w:pPr>
        <w:spacing w:line="360" w:lineRule="auto"/>
        <w:contextualSpacing/>
        <w:rPr>
          <w:rFonts w:ascii="仿宋" w:hAnsi="仿宋" w:eastAsia="仿宋"/>
          <w:sz w:val="24"/>
        </w:rPr>
      </w:pPr>
      <w:r>
        <w:rPr>
          <w:rFonts w:hint="eastAsia" w:ascii="仿宋" w:hAnsi="仿宋" w:eastAsia="仿宋"/>
          <w:sz w:val="24"/>
        </w:rPr>
        <w:t>1、细菌代谢组</w:t>
      </w:r>
    </w:p>
    <w:p>
      <w:pPr>
        <w:spacing w:line="360" w:lineRule="auto"/>
        <w:contextualSpacing/>
        <w:rPr>
          <w:rFonts w:ascii="仿宋" w:hAnsi="仿宋" w:eastAsia="仿宋"/>
          <w:sz w:val="24"/>
        </w:rPr>
      </w:pPr>
      <w:r>
        <w:rPr>
          <w:rFonts w:hint="eastAsia" w:ascii="仿宋" w:hAnsi="仿宋" w:eastAsia="仿宋"/>
          <w:sz w:val="24"/>
        </w:rPr>
        <w:t>1.1、完成60例细菌代谢组的代谢物提取、检测和生物信息学分析。投标人需具备非靶向代谢以及胆汁酸、脂肪酸、色氨酸、有机酸、中心碳等相关物质靶向检测方案。</w:t>
      </w:r>
    </w:p>
    <w:p>
      <w:pPr>
        <w:spacing w:line="360" w:lineRule="auto"/>
        <w:contextualSpacing/>
        <w:rPr>
          <w:rFonts w:ascii="仿宋" w:hAnsi="仿宋" w:eastAsia="仿宋"/>
          <w:sz w:val="24"/>
        </w:rPr>
      </w:pPr>
      <w:r>
        <w:rPr>
          <w:rFonts w:hint="eastAsia" w:ascii="仿宋" w:hAnsi="仿宋" w:eastAsia="仿宋"/>
          <w:sz w:val="24"/>
        </w:rPr>
        <w:t>1.2、检测平台使用Thermo Q Exactive</w:t>
      </w:r>
      <w:r>
        <w:rPr>
          <w:rFonts w:hint="eastAsia" w:ascii="宋体" w:hAnsi="宋体" w:cs="宋体"/>
          <w:sz w:val="24"/>
        </w:rPr>
        <w:t>™</w:t>
      </w:r>
      <w:r>
        <w:rPr>
          <w:rFonts w:hint="eastAsia" w:ascii="仿宋" w:hAnsi="仿宋" w:eastAsia="仿宋"/>
          <w:sz w:val="24"/>
        </w:rPr>
        <w:t xml:space="preserve"> HF、Agilent 6545 Q-TOF、AB SCIEX Triple TOF 6600等系列平台，任选其一。</w:t>
      </w:r>
    </w:p>
    <w:p>
      <w:pPr>
        <w:spacing w:line="360" w:lineRule="auto"/>
        <w:contextualSpacing/>
        <w:rPr>
          <w:rFonts w:ascii="仿宋" w:hAnsi="仿宋" w:eastAsia="仿宋"/>
          <w:sz w:val="24"/>
        </w:rPr>
      </w:pPr>
      <w:r>
        <w:rPr>
          <w:rFonts w:hint="eastAsia" w:ascii="仿宋" w:hAnsi="仿宋" w:eastAsia="仿宋"/>
          <w:sz w:val="24"/>
        </w:rPr>
        <w:t>1.3、生物信息分析内容</w:t>
      </w:r>
    </w:p>
    <w:p>
      <w:pPr>
        <w:spacing w:line="360" w:lineRule="auto"/>
        <w:contextualSpacing/>
        <w:rPr>
          <w:rFonts w:ascii="仿宋" w:hAnsi="仿宋" w:eastAsia="仿宋"/>
          <w:sz w:val="24"/>
        </w:rPr>
      </w:pPr>
      <w:r>
        <w:rPr>
          <w:rFonts w:hint="eastAsia" w:ascii="仿宋" w:hAnsi="仿宋" w:eastAsia="仿宋"/>
          <w:sz w:val="24"/>
        </w:rPr>
        <w:t>1）代谢物定性及定量结果；</w:t>
      </w:r>
    </w:p>
    <w:p>
      <w:pPr>
        <w:spacing w:line="360" w:lineRule="auto"/>
        <w:contextualSpacing/>
        <w:rPr>
          <w:rFonts w:ascii="仿宋" w:hAnsi="仿宋" w:eastAsia="仿宋"/>
          <w:sz w:val="24"/>
        </w:rPr>
      </w:pPr>
      <w:r>
        <w:rPr>
          <w:rFonts w:hint="eastAsia" w:ascii="仿宋" w:hAnsi="仿宋" w:eastAsia="仿宋"/>
          <w:sz w:val="24"/>
        </w:rPr>
        <w:t>2）数据质控：QC 样本相关性分析，总样本 PCA 分析；</w:t>
      </w:r>
    </w:p>
    <w:p>
      <w:pPr>
        <w:spacing w:line="360" w:lineRule="auto"/>
        <w:contextualSpacing/>
        <w:rPr>
          <w:rFonts w:ascii="仿宋" w:hAnsi="仿宋" w:eastAsia="仿宋"/>
          <w:sz w:val="24"/>
        </w:rPr>
      </w:pPr>
      <w:r>
        <w:rPr>
          <w:rFonts w:hint="eastAsia" w:ascii="仿宋" w:hAnsi="仿宋" w:eastAsia="仿宋"/>
          <w:sz w:val="24"/>
        </w:rPr>
        <w:t>3）代谢物分类及通路注释；</w:t>
      </w:r>
    </w:p>
    <w:p>
      <w:pPr>
        <w:spacing w:line="360" w:lineRule="auto"/>
        <w:contextualSpacing/>
        <w:rPr>
          <w:rFonts w:ascii="仿宋" w:hAnsi="仿宋" w:eastAsia="仿宋"/>
          <w:sz w:val="24"/>
        </w:rPr>
      </w:pPr>
      <w:r>
        <w:rPr>
          <w:rFonts w:hint="eastAsia" w:ascii="仿宋" w:hAnsi="仿宋" w:eastAsia="仿宋"/>
          <w:sz w:val="24"/>
        </w:rPr>
        <w:t>4）差异代谢物筛选：PCA 分析，PLS-DA 分析，差异代谢物火柴杆图，差异代谢物火山图；</w:t>
      </w:r>
    </w:p>
    <w:p>
      <w:pPr>
        <w:spacing w:line="360" w:lineRule="auto"/>
        <w:contextualSpacing/>
        <w:rPr>
          <w:rFonts w:ascii="仿宋" w:hAnsi="仿宋" w:eastAsia="仿宋"/>
          <w:sz w:val="24"/>
        </w:rPr>
      </w:pPr>
      <w:r>
        <w:rPr>
          <w:rFonts w:hint="eastAsia" w:ascii="仿宋" w:hAnsi="仿宋" w:eastAsia="仿宋"/>
          <w:sz w:val="24"/>
        </w:rPr>
        <w:t>5）差异代谢物分析；</w:t>
      </w:r>
    </w:p>
    <w:p>
      <w:pPr>
        <w:spacing w:line="360" w:lineRule="auto"/>
        <w:contextualSpacing/>
        <w:rPr>
          <w:rFonts w:ascii="仿宋" w:hAnsi="仿宋" w:eastAsia="仿宋"/>
          <w:sz w:val="24"/>
        </w:rPr>
      </w:pPr>
      <w:r>
        <w:rPr>
          <w:rFonts w:hint="eastAsia" w:ascii="仿宋" w:hAnsi="仿宋" w:eastAsia="仿宋"/>
          <w:sz w:val="24"/>
        </w:rPr>
        <w:t>6） KEGG 富集分析：KEGG 分类分析，KEGG 气泡图，KEGG 通路图，KEGG 调控网络图</w:t>
      </w:r>
    </w:p>
    <w:p>
      <w:pPr>
        <w:spacing w:line="360" w:lineRule="auto"/>
        <w:contextualSpacing/>
        <w:rPr>
          <w:rFonts w:ascii="仿宋" w:hAnsi="仿宋" w:eastAsia="仿宋"/>
          <w:sz w:val="24"/>
        </w:rPr>
      </w:pPr>
      <w:r>
        <w:rPr>
          <w:rFonts w:hint="eastAsia" w:ascii="仿宋" w:hAnsi="仿宋" w:eastAsia="仿宋"/>
          <w:sz w:val="24"/>
        </w:rPr>
        <w:t>7） GSEA 分析；</w:t>
      </w:r>
    </w:p>
    <w:p>
      <w:pPr>
        <w:spacing w:line="360" w:lineRule="auto"/>
        <w:contextualSpacing/>
        <w:rPr>
          <w:rFonts w:ascii="仿宋" w:hAnsi="仿宋" w:eastAsia="仿宋"/>
          <w:sz w:val="24"/>
        </w:rPr>
      </w:pPr>
      <w:r>
        <w:rPr>
          <w:rFonts w:hint="eastAsia" w:ascii="仿宋" w:hAnsi="仿宋" w:eastAsia="仿宋"/>
          <w:sz w:val="24"/>
        </w:rPr>
        <w:t>8）差异代谢物 ROC 曲线分析；</w:t>
      </w:r>
    </w:p>
    <w:p>
      <w:pPr>
        <w:spacing w:line="360" w:lineRule="auto"/>
        <w:contextualSpacing/>
        <w:rPr>
          <w:rFonts w:ascii="仿宋" w:hAnsi="仿宋" w:eastAsia="仿宋"/>
          <w:sz w:val="24"/>
        </w:rPr>
      </w:pPr>
      <w:r>
        <w:rPr>
          <w:rFonts w:hint="eastAsia" w:ascii="仿宋" w:hAnsi="仿宋" w:eastAsia="仿宋"/>
          <w:sz w:val="24"/>
        </w:rPr>
        <w:t>1.4、非靶代谢自建数据库：谱图数量大于25万，标准品自建库大于1万种物质，代谢物检出数目大于4000，level1水平代谢物检出大于1500。</w:t>
      </w:r>
    </w:p>
    <w:p>
      <w:pPr>
        <w:spacing w:line="360" w:lineRule="auto"/>
        <w:contextualSpacing/>
        <w:rPr>
          <w:rFonts w:ascii="仿宋" w:hAnsi="仿宋" w:eastAsia="仿宋"/>
          <w:sz w:val="24"/>
        </w:rPr>
      </w:pPr>
      <w:r>
        <w:rPr>
          <w:rFonts w:hint="eastAsia" w:ascii="仿宋" w:hAnsi="仿宋" w:eastAsia="仿宋"/>
          <w:sz w:val="24"/>
        </w:rPr>
        <w:t>1.5、项目周期：每批样本的检测周期从送样开始，完成所有检测、数据处理工作及提供结题所需时间≤10个自然日。</w:t>
      </w:r>
    </w:p>
    <w:p>
      <w:pPr>
        <w:spacing w:line="360" w:lineRule="auto"/>
        <w:contextualSpacing/>
        <w:rPr>
          <w:rFonts w:ascii="仿宋" w:hAnsi="仿宋" w:eastAsia="仿宋"/>
          <w:sz w:val="24"/>
        </w:rPr>
      </w:pPr>
      <w:r>
        <w:rPr>
          <w:rFonts w:hint="eastAsia" w:ascii="仿宋" w:hAnsi="仿宋" w:eastAsia="仿宋"/>
          <w:sz w:val="24"/>
        </w:rPr>
        <w:t>2、电镜观察</w:t>
      </w:r>
    </w:p>
    <w:p>
      <w:pPr>
        <w:spacing w:line="360" w:lineRule="auto"/>
        <w:contextualSpacing/>
        <w:rPr>
          <w:rFonts w:ascii="仿宋" w:hAnsi="仿宋" w:eastAsia="仿宋"/>
          <w:sz w:val="24"/>
        </w:rPr>
      </w:pPr>
      <w:r>
        <w:rPr>
          <w:rFonts w:hint="eastAsia" w:ascii="仿宋" w:hAnsi="仿宋" w:eastAsia="仿宋"/>
          <w:sz w:val="24"/>
        </w:rPr>
        <w:t>2.1、完成30例样本的TEM透射电镜观察，提供高清电镜图，每个样本不少于3张。</w:t>
      </w:r>
    </w:p>
    <w:p>
      <w:pPr>
        <w:spacing w:line="360" w:lineRule="auto"/>
        <w:contextualSpacing/>
        <w:rPr>
          <w:rFonts w:ascii="仿宋" w:hAnsi="仿宋" w:eastAsia="仿宋"/>
          <w:sz w:val="24"/>
        </w:rPr>
      </w:pPr>
      <w:r>
        <w:rPr>
          <w:rFonts w:hint="eastAsia" w:ascii="仿宋" w:hAnsi="仿宋" w:eastAsia="仿宋"/>
          <w:sz w:val="24"/>
        </w:rPr>
        <w:t>2.2、样本前处理流程</w:t>
      </w:r>
    </w:p>
    <w:p>
      <w:pPr>
        <w:spacing w:line="360" w:lineRule="auto"/>
        <w:contextualSpacing/>
        <w:rPr>
          <w:rFonts w:ascii="仿宋" w:hAnsi="仿宋" w:eastAsia="仿宋"/>
          <w:sz w:val="24"/>
        </w:rPr>
      </w:pPr>
      <w:r>
        <w:rPr>
          <w:rFonts w:hint="eastAsia" w:ascii="仿宋" w:hAnsi="仿宋" w:eastAsia="仿宋"/>
          <w:sz w:val="24"/>
        </w:rPr>
        <w:t>1）体液类样本：进行外泌体超离富集，电镜观察完整性，拍照。</w:t>
      </w:r>
    </w:p>
    <w:p>
      <w:pPr>
        <w:spacing w:line="360" w:lineRule="auto"/>
        <w:contextualSpacing/>
        <w:rPr>
          <w:rFonts w:ascii="仿宋" w:hAnsi="仿宋" w:eastAsia="仿宋"/>
          <w:sz w:val="24"/>
        </w:rPr>
      </w:pPr>
      <w:r>
        <w:rPr>
          <w:rFonts w:hint="eastAsia" w:ascii="仿宋" w:hAnsi="仿宋" w:eastAsia="仿宋"/>
          <w:sz w:val="24"/>
        </w:rPr>
        <w:t>2）其他样本：协商进行固定、渗透、包埋等，染色，电镜观察，拍照。</w:t>
      </w:r>
    </w:p>
    <w:p>
      <w:pPr>
        <w:spacing w:line="360" w:lineRule="auto"/>
        <w:contextualSpacing/>
        <w:rPr>
          <w:rFonts w:ascii="仿宋" w:hAnsi="仿宋" w:eastAsia="仿宋"/>
          <w:sz w:val="24"/>
        </w:rPr>
      </w:pPr>
      <w:r>
        <w:rPr>
          <w:rFonts w:hint="eastAsia" w:ascii="仿宋" w:hAnsi="仿宋" w:eastAsia="仿宋"/>
          <w:sz w:val="24"/>
        </w:rPr>
        <w:t>2.3、项目周期：每批样本的检测周期从送样开始，完成所有检测、处理工作及提供结题所需时间≤3个自然日。</w:t>
      </w:r>
    </w:p>
    <w:p>
      <w:pPr>
        <w:spacing w:line="360" w:lineRule="auto"/>
        <w:contextualSpacing/>
        <w:rPr>
          <w:rFonts w:ascii="仿宋" w:hAnsi="仿宋" w:eastAsia="仿宋"/>
          <w:sz w:val="24"/>
        </w:rPr>
      </w:pPr>
      <w:r>
        <w:rPr>
          <w:rFonts w:hint="eastAsia" w:ascii="仿宋" w:hAnsi="仿宋" w:eastAsia="仿宋"/>
          <w:sz w:val="24"/>
        </w:rPr>
        <w:t>3、炎症因子芯片</w:t>
      </w:r>
    </w:p>
    <w:p>
      <w:pPr>
        <w:spacing w:line="360" w:lineRule="auto"/>
        <w:contextualSpacing/>
        <w:rPr>
          <w:rFonts w:ascii="仿宋" w:hAnsi="仿宋" w:eastAsia="仿宋"/>
          <w:sz w:val="24"/>
        </w:rPr>
      </w:pPr>
      <w:r>
        <w:rPr>
          <w:rFonts w:hint="eastAsia" w:ascii="仿宋" w:hAnsi="仿宋" w:eastAsia="仿宋"/>
          <w:sz w:val="24"/>
        </w:rPr>
        <w:t>3.1、完成120例体液样本30个以内炎症因子检测和生物信息学分析。</w:t>
      </w:r>
    </w:p>
    <w:p>
      <w:pPr>
        <w:spacing w:line="360" w:lineRule="auto"/>
        <w:contextualSpacing/>
        <w:rPr>
          <w:rFonts w:ascii="仿宋" w:hAnsi="仿宋" w:eastAsia="仿宋"/>
          <w:sz w:val="24"/>
        </w:rPr>
      </w:pPr>
      <w:r>
        <w:rPr>
          <w:rFonts w:hint="eastAsia" w:ascii="仿宋" w:hAnsi="仿宋" w:eastAsia="仿宋"/>
          <w:sz w:val="24"/>
        </w:rPr>
        <w:t>3.2、检测平台：利用Luminex X-200型号仪器进行检测。</w:t>
      </w:r>
    </w:p>
    <w:p>
      <w:pPr>
        <w:spacing w:line="360" w:lineRule="auto"/>
        <w:contextualSpacing/>
        <w:rPr>
          <w:rFonts w:ascii="仿宋" w:hAnsi="仿宋" w:eastAsia="仿宋"/>
          <w:sz w:val="24"/>
        </w:rPr>
      </w:pPr>
      <w:r>
        <w:rPr>
          <w:rFonts w:hint="eastAsia" w:ascii="仿宋" w:hAnsi="仿宋" w:eastAsia="仿宋"/>
          <w:sz w:val="24"/>
        </w:rPr>
        <w:t>3.3、样本前处理：从冰箱中取出试剂盒，室温平衡 30min。准备标准品：标准品按照 COA 提供的重溶体积用去离子水重溶，充分混匀后，室温静置 15-20min，作为标准曲线最高浓度。依次做4倍稀释，7个标准品+1个Blank。清洗液准备：10×清洗液 30ml+270ml 去离子水。</w:t>
      </w:r>
    </w:p>
    <w:p>
      <w:pPr>
        <w:spacing w:line="360" w:lineRule="auto"/>
        <w:contextualSpacing/>
        <w:rPr>
          <w:rFonts w:ascii="仿宋" w:hAnsi="仿宋" w:eastAsia="仿宋"/>
          <w:sz w:val="24"/>
        </w:rPr>
      </w:pPr>
      <w:r>
        <w:rPr>
          <w:rFonts w:hint="eastAsia" w:ascii="仿宋" w:hAnsi="仿宋" w:eastAsia="仿宋"/>
          <w:sz w:val="24"/>
        </w:rPr>
        <w:t>3.4、luminex通过扫描报告分子上的荧光强度，然后利用标准品进行校正，得到每个蛋白的绝对定量值，提供蛋白定量结果。</w:t>
      </w:r>
    </w:p>
    <w:p>
      <w:pPr>
        <w:spacing w:line="360" w:lineRule="auto"/>
        <w:contextualSpacing/>
        <w:rPr>
          <w:rFonts w:ascii="仿宋" w:hAnsi="仿宋" w:eastAsia="仿宋"/>
          <w:sz w:val="24"/>
        </w:rPr>
      </w:pPr>
      <w:r>
        <w:rPr>
          <w:rFonts w:hint="eastAsia" w:ascii="仿宋" w:hAnsi="仿宋" w:eastAsia="仿宋"/>
          <w:sz w:val="24"/>
        </w:rPr>
        <w:t>3.5、数据重复性分析，细胞因子检测实验的稳定性通常利用变异系数（CV）和卡方检验（Chi）进行评价。</w:t>
      </w:r>
    </w:p>
    <w:p>
      <w:pPr>
        <w:spacing w:line="360" w:lineRule="auto"/>
        <w:contextualSpacing/>
        <w:rPr>
          <w:rFonts w:ascii="仿宋" w:hAnsi="仿宋" w:eastAsia="仿宋"/>
          <w:sz w:val="24"/>
        </w:rPr>
      </w:pPr>
      <w:r>
        <w:rPr>
          <w:rFonts w:hint="eastAsia" w:ascii="仿宋" w:hAnsi="仿宋" w:eastAsia="仿宋"/>
          <w:sz w:val="24"/>
        </w:rPr>
        <w:t>3.6、质控体系</w:t>
      </w:r>
    </w:p>
    <w:p>
      <w:pPr>
        <w:spacing w:line="360" w:lineRule="auto"/>
        <w:contextualSpacing/>
        <w:rPr>
          <w:rFonts w:ascii="仿宋" w:hAnsi="仿宋" w:eastAsia="仿宋"/>
          <w:sz w:val="24"/>
        </w:rPr>
      </w:pPr>
      <w:r>
        <w:rPr>
          <w:rFonts w:hint="eastAsia" w:ascii="仿宋" w:hAnsi="仿宋" w:eastAsia="仿宋"/>
          <w:sz w:val="24"/>
        </w:rPr>
        <w:t>1）按照实验之前的排布,分别每孔对应加入 25ul 的标准品和样本。样本孔加入 25ul 的检测稀释液，背景孔、标准品、质控品孔加入 25ul 的血清基质或蛋白溶液；</w:t>
      </w:r>
    </w:p>
    <w:p>
      <w:pPr>
        <w:spacing w:line="360" w:lineRule="auto"/>
        <w:contextualSpacing/>
        <w:rPr>
          <w:rFonts w:ascii="仿宋" w:hAnsi="仿宋" w:eastAsia="仿宋"/>
          <w:sz w:val="24"/>
        </w:rPr>
      </w:pPr>
      <w:r>
        <w:rPr>
          <w:rFonts w:hint="eastAsia" w:ascii="仿宋" w:hAnsi="仿宋" w:eastAsia="仿宋"/>
          <w:sz w:val="24"/>
        </w:rPr>
        <w:t>2）试剂盒推荐最低稀释倍数：血清、血浆4倍；</w:t>
      </w:r>
    </w:p>
    <w:p>
      <w:pPr>
        <w:spacing w:line="360" w:lineRule="auto"/>
        <w:contextualSpacing/>
        <w:rPr>
          <w:rFonts w:ascii="仿宋" w:hAnsi="仿宋" w:eastAsia="仿宋"/>
          <w:sz w:val="24"/>
        </w:rPr>
      </w:pPr>
      <w:r>
        <w:rPr>
          <w:rFonts w:hint="eastAsia" w:ascii="仿宋" w:hAnsi="仿宋" w:eastAsia="仿宋"/>
          <w:sz w:val="24"/>
        </w:rPr>
        <w:t>3）正式实验可选择设置1条/2条标曲；</w:t>
      </w:r>
    </w:p>
    <w:p>
      <w:pPr>
        <w:spacing w:line="360" w:lineRule="auto"/>
        <w:contextualSpacing/>
        <w:rPr>
          <w:rFonts w:ascii="仿宋" w:hAnsi="仿宋" w:eastAsia="仿宋"/>
          <w:sz w:val="24"/>
        </w:rPr>
      </w:pPr>
      <w:r>
        <w:rPr>
          <w:rFonts w:hint="eastAsia" w:ascii="仿宋" w:hAnsi="仿宋" w:eastAsia="仿宋"/>
          <w:sz w:val="24"/>
        </w:rPr>
        <w:t>3.7、luminex数据分析</w:t>
      </w:r>
    </w:p>
    <w:p>
      <w:pPr>
        <w:spacing w:line="360" w:lineRule="auto"/>
        <w:contextualSpacing/>
        <w:rPr>
          <w:rFonts w:ascii="仿宋" w:hAnsi="仿宋" w:eastAsia="仿宋"/>
          <w:sz w:val="24"/>
        </w:rPr>
      </w:pPr>
      <w:r>
        <w:rPr>
          <w:rFonts w:hint="eastAsia" w:ascii="仿宋" w:hAnsi="仿宋" w:eastAsia="仿宋"/>
          <w:sz w:val="24"/>
        </w:rPr>
        <w:t>1）根据蛋白定量结果进行单变量统计分析和多元变量统计分析，筛选不同对比组合中出现的显著差异蛋白；</w:t>
      </w:r>
    </w:p>
    <w:p>
      <w:pPr>
        <w:spacing w:line="360" w:lineRule="auto"/>
        <w:contextualSpacing/>
        <w:rPr>
          <w:rFonts w:ascii="仿宋" w:hAnsi="仿宋" w:eastAsia="仿宋"/>
          <w:sz w:val="24"/>
        </w:rPr>
      </w:pPr>
      <w:r>
        <w:rPr>
          <w:rFonts w:hint="eastAsia" w:ascii="仿宋" w:hAnsi="仿宋" w:eastAsia="仿宋"/>
          <w:sz w:val="24"/>
        </w:rPr>
        <w:t>2）对各比对策略的差异蛋白进行差异蛋白箱线图分析；</w:t>
      </w:r>
    </w:p>
    <w:p>
      <w:pPr>
        <w:spacing w:line="360" w:lineRule="auto"/>
        <w:contextualSpacing/>
        <w:rPr>
          <w:rFonts w:ascii="仿宋" w:hAnsi="仿宋" w:eastAsia="仿宋"/>
          <w:sz w:val="24"/>
        </w:rPr>
      </w:pPr>
      <w:r>
        <w:rPr>
          <w:rFonts w:hint="eastAsia" w:ascii="仿宋" w:hAnsi="仿宋" w:eastAsia="仿宋"/>
          <w:sz w:val="24"/>
        </w:rPr>
        <w:t>3.8、交付内容</w:t>
      </w:r>
    </w:p>
    <w:p>
      <w:pPr>
        <w:spacing w:line="360" w:lineRule="auto"/>
        <w:contextualSpacing/>
        <w:rPr>
          <w:rFonts w:ascii="仿宋" w:hAnsi="仿宋" w:eastAsia="仿宋"/>
          <w:sz w:val="24"/>
        </w:rPr>
      </w:pPr>
      <w:r>
        <w:rPr>
          <w:rFonts w:hint="eastAsia" w:ascii="仿宋" w:hAnsi="仿宋" w:eastAsia="仿宋"/>
          <w:sz w:val="24"/>
        </w:rPr>
        <w:t>1）蛋白定量的结果文件；</w:t>
      </w:r>
    </w:p>
    <w:p>
      <w:pPr>
        <w:spacing w:line="360" w:lineRule="auto"/>
        <w:contextualSpacing/>
        <w:rPr>
          <w:rFonts w:ascii="仿宋" w:hAnsi="仿宋" w:eastAsia="仿宋"/>
          <w:sz w:val="24"/>
        </w:rPr>
      </w:pPr>
      <w:r>
        <w:rPr>
          <w:rFonts w:hint="eastAsia" w:ascii="仿宋" w:hAnsi="仿宋" w:eastAsia="仿宋"/>
          <w:sz w:val="24"/>
        </w:rPr>
        <w:t>2）完整的实验报告（包括实验记录、实验材料、实验设备、实验方法、实验过程、实验结果等）；</w:t>
      </w:r>
    </w:p>
    <w:p>
      <w:pPr>
        <w:spacing w:line="360" w:lineRule="auto"/>
        <w:contextualSpacing/>
        <w:rPr>
          <w:rFonts w:ascii="仿宋" w:hAnsi="仿宋" w:eastAsia="仿宋"/>
          <w:sz w:val="24"/>
        </w:rPr>
      </w:pPr>
      <w:r>
        <w:rPr>
          <w:rFonts w:hint="eastAsia" w:ascii="仿宋" w:hAnsi="仿宋" w:eastAsia="仿宋"/>
          <w:sz w:val="24"/>
        </w:rPr>
        <w:t>3）完整的数据分析报告；</w:t>
      </w:r>
    </w:p>
    <w:p>
      <w:pPr>
        <w:spacing w:line="360" w:lineRule="auto"/>
        <w:contextualSpacing/>
        <w:rPr>
          <w:rFonts w:ascii="仿宋" w:hAnsi="仿宋" w:eastAsia="仿宋"/>
          <w:sz w:val="24"/>
        </w:rPr>
      </w:pPr>
      <w:r>
        <w:rPr>
          <w:rFonts w:hint="eastAsia" w:ascii="仿宋" w:hAnsi="仿宋" w:eastAsia="仿宋"/>
          <w:sz w:val="24"/>
        </w:rPr>
        <w:t>3.9、项目周期：每批样本的检测周期从送样开始，完成所有检测、数据处理工作及提供结题所需时间≤10个自然日。</w:t>
      </w:r>
    </w:p>
    <w:p>
      <w:pPr>
        <w:spacing w:line="360" w:lineRule="auto"/>
        <w:contextualSpacing/>
        <w:rPr>
          <w:rFonts w:ascii="仿宋" w:hAnsi="仿宋" w:eastAsia="仿宋"/>
          <w:sz w:val="24"/>
        </w:rPr>
      </w:pPr>
      <w:r>
        <w:rPr>
          <w:rFonts w:hint="eastAsia" w:ascii="仿宋" w:hAnsi="仿宋" w:eastAsia="仿宋"/>
          <w:sz w:val="24"/>
        </w:rPr>
        <w:t>4、病理学分析</w:t>
      </w:r>
    </w:p>
    <w:p>
      <w:pPr>
        <w:spacing w:line="360" w:lineRule="auto"/>
        <w:contextualSpacing/>
        <w:rPr>
          <w:rFonts w:ascii="仿宋" w:hAnsi="仿宋" w:eastAsia="仿宋"/>
          <w:sz w:val="24"/>
        </w:rPr>
      </w:pPr>
      <w:r>
        <w:rPr>
          <w:rFonts w:hint="eastAsia" w:ascii="仿宋" w:hAnsi="仿宋" w:eastAsia="仿宋"/>
          <w:sz w:val="24"/>
        </w:rPr>
        <w:t>4.1、完成70例样本的病理学分析，并提供HE染色切片。</w:t>
      </w:r>
    </w:p>
    <w:p>
      <w:pPr>
        <w:spacing w:line="360" w:lineRule="auto"/>
        <w:contextualSpacing/>
        <w:rPr>
          <w:rFonts w:ascii="仿宋" w:hAnsi="仿宋" w:eastAsia="仿宋"/>
          <w:sz w:val="24"/>
        </w:rPr>
      </w:pPr>
      <w:r>
        <w:rPr>
          <w:rFonts w:hint="eastAsia" w:ascii="仿宋" w:hAnsi="仿宋" w:eastAsia="仿宋"/>
          <w:sz w:val="24"/>
        </w:rPr>
        <w:t>4.2、样本处理</w:t>
      </w:r>
    </w:p>
    <w:p>
      <w:pPr>
        <w:spacing w:line="360" w:lineRule="auto"/>
        <w:contextualSpacing/>
        <w:rPr>
          <w:rFonts w:ascii="仿宋" w:hAnsi="仿宋" w:eastAsia="仿宋"/>
          <w:sz w:val="24"/>
        </w:rPr>
      </w:pPr>
      <w:r>
        <w:rPr>
          <w:rFonts w:hint="eastAsia" w:ascii="仿宋" w:hAnsi="仿宋" w:eastAsia="仿宋"/>
          <w:sz w:val="24"/>
        </w:rPr>
        <w:t>1）切片：投标人需配备冷冻切片机对OCT包埋组织或者石蜡包埋组织进行切片；</w:t>
      </w:r>
    </w:p>
    <w:p>
      <w:pPr>
        <w:spacing w:line="360" w:lineRule="auto"/>
        <w:contextualSpacing/>
        <w:rPr>
          <w:rFonts w:ascii="仿宋" w:hAnsi="仿宋" w:eastAsia="仿宋"/>
          <w:sz w:val="24"/>
        </w:rPr>
      </w:pPr>
      <w:r>
        <w:rPr>
          <w:rFonts w:hint="eastAsia" w:ascii="仿宋" w:hAnsi="仿宋" w:eastAsia="仿宋"/>
          <w:sz w:val="24"/>
        </w:rPr>
        <w:t>2）HE染色：对冰冻切片或者石蜡切片使用苏木精—伊红染色法染色；</w:t>
      </w:r>
    </w:p>
    <w:p>
      <w:pPr>
        <w:spacing w:line="360" w:lineRule="auto"/>
        <w:contextualSpacing/>
        <w:rPr>
          <w:rFonts w:ascii="仿宋" w:hAnsi="仿宋" w:eastAsia="仿宋"/>
          <w:sz w:val="24"/>
        </w:rPr>
      </w:pPr>
      <w:r>
        <w:rPr>
          <w:rFonts w:hint="eastAsia" w:ascii="仿宋" w:hAnsi="仿宋" w:eastAsia="仿宋"/>
          <w:sz w:val="24"/>
        </w:rPr>
        <w:t>3）投标人需配备荧光显微镜，在明场与荧光模式下扫描采集不同染色的实验组织切片、冰冻切片，配合图像分析功能进行HE染色分析；</w:t>
      </w:r>
    </w:p>
    <w:p>
      <w:pPr>
        <w:spacing w:line="360" w:lineRule="auto"/>
        <w:contextualSpacing/>
        <w:rPr>
          <w:rFonts w:ascii="仿宋" w:hAnsi="仿宋" w:eastAsia="仿宋"/>
          <w:sz w:val="24"/>
        </w:rPr>
      </w:pPr>
      <w:r>
        <w:rPr>
          <w:rFonts w:hint="eastAsia" w:ascii="仿宋" w:hAnsi="仿宋" w:eastAsia="仿宋"/>
          <w:sz w:val="24"/>
        </w:rPr>
        <w:t>4.3、项目周期：每批样本的检测周期从送样开始，完成所有制备、分析处理工作及提供结题所需时间≤7个自然日。</w:t>
      </w:r>
    </w:p>
    <w:p>
      <w:pPr>
        <w:spacing w:line="360" w:lineRule="auto"/>
        <w:contextualSpacing/>
        <w:rPr>
          <w:rFonts w:ascii="仿宋" w:hAnsi="仿宋" w:eastAsia="仿宋"/>
          <w:sz w:val="24"/>
        </w:rPr>
      </w:pPr>
      <w:r>
        <w:rPr>
          <w:rFonts w:hint="eastAsia" w:ascii="仿宋" w:hAnsi="仿宋" w:eastAsia="仿宋"/>
          <w:sz w:val="24"/>
        </w:rPr>
        <w:t>5、宏基因组测序</w:t>
      </w:r>
    </w:p>
    <w:p>
      <w:pPr>
        <w:spacing w:line="360" w:lineRule="auto"/>
        <w:contextualSpacing/>
        <w:rPr>
          <w:rFonts w:ascii="仿宋" w:hAnsi="仿宋" w:eastAsia="仿宋"/>
          <w:sz w:val="24"/>
        </w:rPr>
      </w:pPr>
      <w:r>
        <w:rPr>
          <w:rFonts w:hint="eastAsia" w:ascii="仿宋" w:hAnsi="仿宋" w:eastAsia="仿宋"/>
          <w:sz w:val="24"/>
        </w:rPr>
        <w:t>5.1、完成32例样本的DNA的提取、质检、建库测序和生物信息学分析。</w:t>
      </w:r>
    </w:p>
    <w:p>
      <w:pPr>
        <w:spacing w:line="360" w:lineRule="auto"/>
        <w:contextualSpacing/>
        <w:rPr>
          <w:rFonts w:ascii="仿宋" w:hAnsi="仿宋" w:eastAsia="仿宋"/>
          <w:sz w:val="24"/>
        </w:rPr>
      </w:pPr>
      <w:r>
        <w:rPr>
          <w:rFonts w:hint="eastAsia" w:ascii="仿宋" w:hAnsi="仿宋" w:eastAsia="仿宋"/>
          <w:sz w:val="24"/>
        </w:rPr>
        <w:t>5.2、利用Illumina Novaseq6000或Illumina Xplus进行双端二代测序，测序策略PE150，每个样品至少提供20 Gb测序原始数据。</w:t>
      </w:r>
    </w:p>
    <w:p>
      <w:pPr>
        <w:spacing w:line="360" w:lineRule="auto"/>
        <w:contextualSpacing/>
        <w:rPr>
          <w:rFonts w:ascii="仿宋" w:hAnsi="仿宋" w:eastAsia="仿宋"/>
          <w:sz w:val="24"/>
        </w:rPr>
      </w:pPr>
      <w:r>
        <w:rPr>
          <w:rFonts w:hint="eastAsia" w:ascii="仿宋" w:hAnsi="仿宋" w:eastAsia="仿宋"/>
          <w:sz w:val="24"/>
        </w:rPr>
        <w:t>5.3、测序质量：Q20不低于90%，Q30不低于85%，单碱基错误率小于0.1%。</w:t>
      </w:r>
    </w:p>
    <w:p>
      <w:pPr>
        <w:spacing w:line="360" w:lineRule="auto"/>
        <w:contextualSpacing/>
        <w:rPr>
          <w:rFonts w:ascii="仿宋" w:hAnsi="仿宋" w:eastAsia="仿宋"/>
          <w:sz w:val="24"/>
        </w:rPr>
      </w:pPr>
      <w:r>
        <w:rPr>
          <w:rFonts w:hint="eastAsia" w:ascii="仿宋" w:hAnsi="仿宋" w:eastAsia="仿宋"/>
          <w:sz w:val="24"/>
        </w:rPr>
        <w:t>5.4、完成约定的生物信息学分析内容，包括物种注释，功能注释：KEGG，CAZy，eggNOG，VFDB等数据库；物种与功能组成分析：物种丰度分析，物种多样性分析等；物种与功能的组间比较分析：LEfSe分析，ANOSIM分析等；转移元件分析。</w:t>
      </w:r>
    </w:p>
    <w:p>
      <w:pPr>
        <w:spacing w:line="360" w:lineRule="auto"/>
        <w:contextualSpacing/>
        <w:rPr>
          <w:rFonts w:ascii="仿宋" w:hAnsi="仿宋" w:eastAsia="仿宋"/>
          <w:sz w:val="24"/>
        </w:rPr>
      </w:pPr>
      <w:r>
        <w:rPr>
          <w:rFonts w:hint="eastAsia" w:ascii="仿宋" w:hAnsi="仿宋" w:eastAsia="仿宋"/>
          <w:sz w:val="24"/>
        </w:rPr>
        <w:t>5.5、高级分析：环境因子关联分析：RDA/CCA分析等、SEED数据库注释、ARDB数据库分析、HPB人类病原菌数据库注释、Reads mapping分析。</w:t>
      </w:r>
    </w:p>
    <w:p>
      <w:pPr>
        <w:spacing w:line="360" w:lineRule="auto"/>
        <w:contextualSpacing/>
        <w:rPr>
          <w:rFonts w:ascii="仿宋" w:hAnsi="仿宋" w:eastAsia="仿宋"/>
          <w:sz w:val="24"/>
        </w:rPr>
      </w:pPr>
      <w:r>
        <w:rPr>
          <w:rFonts w:hint="eastAsia" w:ascii="仿宋" w:hAnsi="仿宋" w:eastAsia="仿宋"/>
          <w:sz w:val="24"/>
        </w:rPr>
        <w:t>5.6、项目周期：每批样本的测序周期从送样开始，完成所有测序、数据处理工作及提供结题所需时间≤20个自然日。</w:t>
      </w:r>
    </w:p>
    <w:p>
      <w:pPr>
        <w:spacing w:line="360" w:lineRule="auto"/>
        <w:contextualSpacing/>
        <w:rPr>
          <w:rFonts w:ascii="仿宋" w:hAnsi="仿宋" w:eastAsia="仿宋"/>
          <w:sz w:val="24"/>
        </w:rPr>
      </w:pPr>
      <w:r>
        <w:rPr>
          <w:rFonts w:hint="eastAsia" w:ascii="仿宋" w:hAnsi="仿宋" w:eastAsia="仿宋"/>
          <w:sz w:val="24"/>
        </w:rPr>
        <w:t>6、转录组测序</w:t>
      </w:r>
    </w:p>
    <w:p>
      <w:pPr>
        <w:spacing w:line="360" w:lineRule="auto"/>
        <w:contextualSpacing/>
        <w:rPr>
          <w:rFonts w:ascii="仿宋" w:hAnsi="仿宋" w:eastAsia="仿宋"/>
          <w:sz w:val="24"/>
        </w:rPr>
      </w:pPr>
      <w:r>
        <w:rPr>
          <w:rFonts w:hint="eastAsia" w:ascii="仿宋" w:hAnsi="仿宋" w:eastAsia="仿宋"/>
          <w:sz w:val="24"/>
        </w:rPr>
        <w:t>6.1、完成92例细菌样本的Total RNA提取并进行RNA样本检测。</w:t>
      </w:r>
    </w:p>
    <w:p>
      <w:pPr>
        <w:spacing w:line="360" w:lineRule="auto"/>
        <w:contextualSpacing/>
        <w:rPr>
          <w:rFonts w:ascii="仿宋" w:hAnsi="仿宋" w:eastAsia="仿宋"/>
          <w:sz w:val="24"/>
        </w:rPr>
      </w:pPr>
      <w:r>
        <w:rPr>
          <w:rFonts w:hint="eastAsia" w:ascii="仿宋" w:hAnsi="仿宋" w:eastAsia="仿宋"/>
          <w:sz w:val="24"/>
        </w:rPr>
        <w:t>6.2、完成mRNA建库，通过去核糖体建库富集mRNA，采用原装进口建库试剂盒。</w:t>
      </w:r>
    </w:p>
    <w:p>
      <w:pPr>
        <w:spacing w:line="360" w:lineRule="auto"/>
        <w:contextualSpacing/>
        <w:rPr>
          <w:rFonts w:ascii="仿宋" w:hAnsi="仿宋" w:eastAsia="仿宋"/>
          <w:sz w:val="24"/>
        </w:rPr>
      </w:pPr>
      <w:r>
        <w:rPr>
          <w:rFonts w:hint="eastAsia" w:ascii="仿宋" w:hAnsi="仿宋" w:eastAsia="仿宋"/>
          <w:sz w:val="24"/>
        </w:rPr>
        <w:t>6.3、利用Illumina Novaseq6000或Illumina Xplus进行二代测序，测序策略PE150，raw data不低于2G。</w:t>
      </w:r>
    </w:p>
    <w:p>
      <w:pPr>
        <w:spacing w:line="360" w:lineRule="auto"/>
        <w:contextualSpacing/>
        <w:rPr>
          <w:rFonts w:ascii="仿宋" w:hAnsi="仿宋" w:eastAsia="仿宋"/>
          <w:sz w:val="24"/>
        </w:rPr>
      </w:pPr>
      <w:r>
        <w:rPr>
          <w:rFonts w:hint="eastAsia" w:ascii="仿宋" w:hAnsi="仿宋" w:eastAsia="仿宋"/>
          <w:sz w:val="24"/>
        </w:rPr>
        <w:t>6.4、测序质量：Q20不低于95%，Q30不低于85%，单碱基错误率小于0.1%。</w:t>
      </w:r>
    </w:p>
    <w:p>
      <w:pPr>
        <w:spacing w:line="360" w:lineRule="auto"/>
        <w:contextualSpacing/>
        <w:rPr>
          <w:rFonts w:ascii="仿宋" w:hAnsi="仿宋" w:eastAsia="仿宋"/>
          <w:sz w:val="24"/>
        </w:rPr>
      </w:pPr>
      <w:r>
        <w:rPr>
          <w:rFonts w:hint="eastAsia" w:ascii="仿宋" w:hAnsi="仿宋" w:eastAsia="仿宋"/>
          <w:sz w:val="24"/>
        </w:rPr>
        <w:t>6.5、完成约定的生物信息学分析内容，主要包括：</w:t>
      </w:r>
    </w:p>
    <w:p>
      <w:pPr>
        <w:spacing w:line="360" w:lineRule="auto"/>
        <w:contextualSpacing/>
        <w:rPr>
          <w:rFonts w:ascii="仿宋" w:hAnsi="仿宋" w:eastAsia="仿宋"/>
          <w:sz w:val="24"/>
        </w:rPr>
      </w:pPr>
      <w:r>
        <w:rPr>
          <w:rFonts w:hint="eastAsia" w:ascii="仿宋" w:hAnsi="仿宋" w:eastAsia="仿宋"/>
          <w:sz w:val="24"/>
        </w:rPr>
        <w:t>1）对原始数据进行去除接头、污染序列及低质量 reads 的处理；</w:t>
      </w:r>
    </w:p>
    <w:p>
      <w:pPr>
        <w:spacing w:line="360" w:lineRule="auto"/>
        <w:contextualSpacing/>
        <w:rPr>
          <w:rFonts w:ascii="仿宋" w:hAnsi="仿宋" w:eastAsia="仿宋"/>
          <w:sz w:val="24"/>
        </w:rPr>
      </w:pPr>
      <w:r>
        <w:rPr>
          <w:rFonts w:hint="eastAsia" w:ascii="仿宋" w:hAnsi="仿宋" w:eastAsia="仿宋"/>
          <w:sz w:val="24"/>
        </w:rPr>
        <w:t>2）测序评估，数据质量评估；</w:t>
      </w:r>
    </w:p>
    <w:p>
      <w:pPr>
        <w:spacing w:line="360" w:lineRule="auto"/>
        <w:contextualSpacing/>
        <w:rPr>
          <w:rFonts w:ascii="仿宋" w:hAnsi="仿宋" w:eastAsia="仿宋"/>
          <w:sz w:val="24"/>
        </w:rPr>
      </w:pPr>
      <w:r>
        <w:rPr>
          <w:rFonts w:hint="eastAsia" w:ascii="仿宋" w:hAnsi="仿宋" w:eastAsia="仿宋"/>
          <w:sz w:val="24"/>
        </w:rPr>
        <w:t>3）参考序列比对分析；</w:t>
      </w:r>
    </w:p>
    <w:p>
      <w:pPr>
        <w:spacing w:line="360" w:lineRule="auto"/>
        <w:contextualSpacing/>
        <w:rPr>
          <w:rFonts w:ascii="仿宋" w:hAnsi="仿宋" w:eastAsia="仿宋"/>
          <w:sz w:val="24"/>
        </w:rPr>
      </w:pPr>
      <w:r>
        <w:rPr>
          <w:rFonts w:hint="eastAsia" w:ascii="仿宋" w:hAnsi="仿宋" w:eastAsia="仿宋"/>
          <w:sz w:val="24"/>
        </w:rPr>
        <w:t>4）基因表达水平分析；</w:t>
      </w:r>
    </w:p>
    <w:p>
      <w:pPr>
        <w:spacing w:line="360" w:lineRule="auto"/>
        <w:contextualSpacing/>
        <w:rPr>
          <w:rFonts w:ascii="仿宋" w:hAnsi="仿宋" w:eastAsia="仿宋"/>
          <w:sz w:val="24"/>
        </w:rPr>
      </w:pPr>
      <w:r>
        <w:rPr>
          <w:rFonts w:hint="eastAsia" w:ascii="仿宋" w:hAnsi="仿宋" w:eastAsia="仿宋"/>
          <w:sz w:val="24"/>
        </w:rPr>
        <w:t>5）样本间相关性分析；</w:t>
      </w:r>
    </w:p>
    <w:p>
      <w:pPr>
        <w:spacing w:line="360" w:lineRule="auto"/>
        <w:contextualSpacing/>
        <w:rPr>
          <w:rFonts w:ascii="仿宋" w:hAnsi="仿宋" w:eastAsia="仿宋"/>
          <w:sz w:val="24"/>
        </w:rPr>
      </w:pPr>
      <w:r>
        <w:rPr>
          <w:rFonts w:hint="eastAsia" w:ascii="仿宋" w:hAnsi="仿宋" w:eastAsia="仿宋"/>
          <w:sz w:val="24"/>
        </w:rPr>
        <w:t>6）基因差异表达分析；</w:t>
      </w:r>
    </w:p>
    <w:p>
      <w:pPr>
        <w:spacing w:line="360" w:lineRule="auto"/>
        <w:contextualSpacing/>
        <w:rPr>
          <w:rFonts w:ascii="仿宋" w:hAnsi="仿宋" w:eastAsia="仿宋"/>
          <w:sz w:val="24"/>
        </w:rPr>
      </w:pPr>
      <w:r>
        <w:rPr>
          <w:rFonts w:hint="eastAsia" w:ascii="仿宋" w:hAnsi="仿宋" w:eastAsia="仿宋"/>
          <w:sz w:val="24"/>
        </w:rPr>
        <w:t>7）差异基因的 GO 富集分析；</w:t>
      </w:r>
    </w:p>
    <w:p>
      <w:pPr>
        <w:spacing w:line="360" w:lineRule="auto"/>
        <w:contextualSpacing/>
        <w:rPr>
          <w:rFonts w:ascii="仿宋" w:hAnsi="仿宋" w:eastAsia="仿宋"/>
          <w:sz w:val="24"/>
        </w:rPr>
      </w:pPr>
      <w:r>
        <w:rPr>
          <w:rFonts w:hint="eastAsia" w:ascii="仿宋" w:hAnsi="仿宋" w:eastAsia="仿宋"/>
          <w:sz w:val="24"/>
        </w:rPr>
        <w:t>8）差异基因的 KEGG 富集分析；</w:t>
      </w:r>
    </w:p>
    <w:p>
      <w:pPr>
        <w:spacing w:line="360" w:lineRule="auto"/>
        <w:contextualSpacing/>
        <w:rPr>
          <w:rFonts w:ascii="仿宋" w:hAnsi="仿宋" w:eastAsia="仿宋"/>
          <w:sz w:val="24"/>
        </w:rPr>
      </w:pPr>
      <w:r>
        <w:rPr>
          <w:rFonts w:hint="eastAsia" w:ascii="仿宋" w:hAnsi="仿宋" w:eastAsia="仿宋"/>
          <w:sz w:val="24"/>
        </w:rPr>
        <w:t>9）GSEA 富集分析；</w:t>
      </w:r>
    </w:p>
    <w:p>
      <w:pPr>
        <w:spacing w:line="360" w:lineRule="auto"/>
        <w:contextualSpacing/>
        <w:rPr>
          <w:rFonts w:ascii="仿宋" w:hAnsi="仿宋" w:eastAsia="仿宋"/>
          <w:sz w:val="24"/>
        </w:rPr>
      </w:pPr>
      <w:r>
        <w:rPr>
          <w:rFonts w:hint="eastAsia" w:ascii="仿宋" w:hAnsi="仿宋" w:eastAsia="仿宋"/>
          <w:sz w:val="24"/>
        </w:rPr>
        <w:t>10）WGCNA 分析(≥15 个样本，默认以样本为单位进行分析)；</w:t>
      </w:r>
    </w:p>
    <w:p>
      <w:pPr>
        <w:spacing w:line="360" w:lineRule="auto"/>
        <w:contextualSpacing/>
        <w:rPr>
          <w:rFonts w:ascii="仿宋" w:hAnsi="仿宋" w:eastAsia="仿宋"/>
          <w:sz w:val="24"/>
        </w:rPr>
      </w:pPr>
      <w:r>
        <w:rPr>
          <w:rFonts w:hint="eastAsia" w:ascii="仿宋" w:hAnsi="仿宋" w:eastAsia="仿宋"/>
          <w:sz w:val="24"/>
        </w:rPr>
        <w:t>6.6、可进行但不限于以下高级生物信息学分析内容，主要包括：</w:t>
      </w:r>
    </w:p>
    <w:p>
      <w:pPr>
        <w:spacing w:line="360" w:lineRule="auto"/>
        <w:contextualSpacing/>
        <w:rPr>
          <w:rFonts w:ascii="仿宋" w:hAnsi="仿宋" w:eastAsia="仿宋"/>
          <w:sz w:val="24"/>
        </w:rPr>
      </w:pPr>
      <w:r>
        <w:rPr>
          <w:rFonts w:hint="eastAsia" w:ascii="仿宋" w:hAnsi="仿宋" w:eastAsia="仿宋"/>
          <w:sz w:val="24"/>
        </w:rPr>
        <w:t>1） SNP/InDel 分析；</w:t>
      </w:r>
    </w:p>
    <w:p>
      <w:pPr>
        <w:spacing w:line="360" w:lineRule="auto"/>
        <w:contextualSpacing/>
        <w:rPr>
          <w:rFonts w:ascii="仿宋" w:hAnsi="仿宋" w:eastAsia="仿宋"/>
          <w:sz w:val="24"/>
        </w:rPr>
      </w:pPr>
      <w:r>
        <w:rPr>
          <w:rFonts w:hint="eastAsia" w:ascii="仿宋" w:hAnsi="仿宋" w:eastAsia="仿宋"/>
          <w:sz w:val="24"/>
        </w:rPr>
        <w:t>2）新转录本预测；</w:t>
      </w:r>
    </w:p>
    <w:p>
      <w:pPr>
        <w:spacing w:line="360" w:lineRule="auto"/>
        <w:contextualSpacing/>
        <w:rPr>
          <w:rFonts w:ascii="仿宋" w:hAnsi="仿宋" w:eastAsia="仿宋"/>
          <w:sz w:val="24"/>
        </w:rPr>
      </w:pPr>
      <w:r>
        <w:rPr>
          <w:rFonts w:hint="eastAsia" w:ascii="仿宋" w:hAnsi="仿宋" w:eastAsia="仿宋"/>
          <w:sz w:val="24"/>
        </w:rPr>
        <w:t>3）基因结构分析；</w:t>
      </w:r>
    </w:p>
    <w:p>
      <w:pPr>
        <w:spacing w:line="360" w:lineRule="auto"/>
        <w:contextualSpacing/>
        <w:rPr>
          <w:rFonts w:ascii="仿宋" w:hAnsi="仿宋" w:eastAsia="仿宋"/>
          <w:sz w:val="24"/>
        </w:rPr>
      </w:pPr>
      <w:r>
        <w:rPr>
          <w:rFonts w:hint="eastAsia" w:ascii="仿宋" w:hAnsi="仿宋" w:eastAsia="仿宋"/>
          <w:sz w:val="24"/>
        </w:rPr>
        <w:t>4）UTR分析；</w:t>
      </w:r>
    </w:p>
    <w:p>
      <w:pPr>
        <w:spacing w:line="360" w:lineRule="auto"/>
        <w:contextualSpacing/>
        <w:rPr>
          <w:rFonts w:ascii="仿宋" w:hAnsi="仿宋" w:eastAsia="仿宋"/>
          <w:sz w:val="24"/>
        </w:rPr>
      </w:pPr>
      <w:r>
        <w:rPr>
          <w:rFonts w:hint="eastAsia" w:ascii="仿宋" w:hAnsi="仿宋" w:eastAsia="仿宋"/>
          <w:sz w:val="24"/>
        </w:rPr>
        <w:t>5）sRNA分析；</w:t>
      </w:r>
    </w:p>
    <w:p>
      <w:pPr>
        <w:spacing w:line="360" w:lineRule="auto"/>
        <w:contextualSpacing/>
        <w:rPr>
          <w:rFonts w:ascii="仿宋" w:hAnsi="仿宋" w:eastAsia="仿宋"/>
          <w:sz w:val="24"/>
        </w:rPr>
      </w:pPr>
      <w:r>
        <w:rPr>
          <w:rFonts w:hint="eastAsia" w:ascii="仿宋" w:hAnsi="仿宋" w:eastAsia="仿宋"/>
          <w:sz w:val="24"/>
        </w:rPr>
        <w:t>6）反义转录本分析；</w:t>
      </w:r>
    </w:p>
    <w:p>
      <w:pPr>
        <w:spacing w:line="360" w:lineRule="auto"/>
        <w:contextualSpacing/>
        <w:rPr>
          <w:rFonts w:ascii="仿宋" w:hAnsi="仿宋" w:eastAsia="仿宋"/>
          <w:sz w:val="24"/>
        </w:rPr>
      </w:pPr>
      <w:r>
        <w:rPr>
          <w:rFonts w:hint="eastAsia" w:ascii="仿宋" w:hAnsi="仿宋" w:eastAsia="仿宋"/>
          <w:sz w:val="24"/>
        </w:rPr>
        <w:t>6.7、项目周期：每批样本的测序周期从建库成功开始，完成所有测序、数据处理工作及提供结题所需时间≤10个自然日。</w:t>
      </w:r>
    </w:p>
    <w:p>
      <w:pPr>
        <w:spacing w:line="360" w:lineRule="auto"/>
        <w:contextualSpacing/>
        <w:rPr>
          <w:rFonts w:ascii="仿宋" w:hAnsi="仿宋" w:eastAsia="仿宋"/>
          <w:sz w:val="24"/>
        </w:rPr>
      </w:pPr>
      <w:r>
        <w:rPr>
          <w:rFonts w:hint="eastAsia" w:ascii="仿宋" w:hAnsi="仿宋" w:eastAsia="仿宋"/>
          <w:sz w:val="24"/>
        </w:rPr>
        <w:t>7、16S rDNA扩增子测序</w:t>
      </w:r>
    </w:p>
    <w:p>
      <w:pPr>
        <w:spacing w:line="360" w:lineRule="auto"/>
        <w:contextualSpacing/>
        <w:rPr>
          <w:rFonts w:ascii="仿宋" w:hAnsi="仿宋" w:eastAsia="仿宋"/>
          <w:sz w:val="24"/>
        </w:rPr>
      </w:pPr>
      <w:r>
        <w:rPr>
          <w:rFonts w:hint="eastAsia" w:ascii="仿宋" w:hAnsi="仿宋" w:eastAsia="仿宋"/>
          <w:sz w:val="24"/>
        </w:rPr>
        <w:t>7.1、完成140例环境样本的DNA的提取、质检、定量和测序和生物信息学分析。</w:t>
      </w:r>
    </w:p>
    <w:p>
      <w:pPr>
        <w:spacing w:line="360" w:lineRule="auto"/>
        <w:contextualSpacing/>
        <w:rPr>
          <w:rFonts w:ascii="仿宋" w:hAnsi="仿宋" w:eastAsia="仿宋"/>
          <w:sz w:val="24"/>
        </w:rPr>
      </w:pPr>
      <w:r>
        <w:rPr>
          <w:rFonts w:hint="eastAsia" w:ascii="仿宋" w:hAnsi="仿宋" w:eastAsia="仿宋"/>
          <w:sz w:val="24"/>
        </w:rPr>
        <w:t>7.2、利用PacBio进行三代测序，测序数据量最低5k条序列/样，平均1万条序列/样。</w:t>
      </w:r>
    </w:p>
    <w:p>
      <w:pPr>
        <w:spacing w:line="360" w:lineRule="auto"/>
        <w:contextualSpacing/>
        <w:rPr>
          <w:rFonts w:ascii="仿宋" w:hAnsi="仿宋" w:eastAsia="仿宋"/>
          <w:sz w:val="24"/>
        </w:rPr>
      </w:pPr>
      <w:r>
        <w:rPr>
          <w:rFonts w:hint="eastAsia" w:ascii="仿宋" w:hAnsi="仿宋" w:eastAsia="仿宋"/>
          <w:sz w:val="24"/>
        </w:rPr>
        <w:t>7.3、完成约定的生物信息学分析内容，包括物种注释与评估：OUT分析，Rank Abundance，Alpha多样性分析等；物种组成分析：群落组成，物种丰度，物种venn图等；样本比较分析：beta多样性分析，样本分组分析，物种差异分析，组间比较分析等；环境因子关联分析：RDA/CCA分析等。</w:t>
      </w:r>
    </w:p>
    <w:p>
      <w:pPr>
        <w:spacing w:line="360" w:lineRule="auto"/>
        <w:contextualSpacing/>
        <w:rPr>
          <w:rFonts w:ascii="仿宋" w:hAnsi="仿宋" w:eastAsia="仿宋"/>
          <w:sz w:val="24"/>
        </w:rPr>
      </w:pPr>
      <w:r>
        <w:rPr>
          <w:rFonts w:hint="eastAsia" w:ascii="仿宋" w:hAnsi="仿宋" w:eastAsia="仿宋"/>
          <w:sz w:val="24"/>
        </w:rPr>
        <w:t>7.4、项目周期：每批样本的测序周期从建库成功开始，完成所有测序、数据处理工作及提供结题所需时间≤15个自然日。</w:t>
      </w:r>
    </w:p>
    <w:p>
      <w:pPr>
        <w:spacing w:line="360" w:lineRule="auto"/>
        <w:contextualSpacing/>
        <w:rPr>
          <w:rFonts w:ascii="仿宋" w:hAnsi="仿宋" w:eastAsia="仿宋"/>
          <w:sz w:val="24"/>
        </w:rPr>
      </w:pPr>
      <w:r>
        <w:rPr>
          <w:rFonts w:hint="eastAsia" w:ascii="仿宋" w:hAnsi="仿宋" w:eastAsia="仿宋"/>
          <w:sz w:val="24"/>
        </w:rPr>
        <w:t>8、单细胞ATAC-seq</w:t>
      </w:r>
    </w:p>
    <w:p>
      <w:pPr>
        <w:spacing w:line="360" w:lineRule="auto"/>
        <w:contextualSpacing/>
        <w:rPr>
          <w:rFonts w:ascii="仿宋" w:hAnsi="仿宋" w:eastAsia="仿宋"/>
          <w:sz w:val="24"/>
        </w:rPr>
      </w:pPr>
      <w:r>
        <w:rPr>
          <w:rFonts w:hint="eastAsia" w:ascii="仿宋" w:hAnsi="仿宋" w:eastAsia="仿宋"/>
          <w:sz w:val="24"/>
        </w:rPr>
        <w:t>8.1、完成10例样本的10X Genomics单细胞ATAC测序和分析服务。</w:t>
      </w:r>
    </w:p>
    <w:p>
      <w:pPr>
        <w:spacing w:line="360" w:lineRule="auto"/>
        <w:contextualSpacing/>
        <w:rPr>
          <w:rFonts w:ascii="仿宋" w:hAnsi="仿宋" w:eastAsia="仿宋"/>
          <w:sz w:val="24"/>
        </w:rPr>
      </w:pPr>
      <w:r>
        <w:rPr>
          <w:rFonts w:hint="eastAsia" w:ascii="仿宋" w:hAnsi="仿宋" w:eastAsia="仿宋"/>
          <w:sz w:val="24"/>
        </w:rPr>
        <w:t>8.2、具有完善的细胞/组织单细胞核悬液制备流程，同时具体全面的单细胞核悬液检测指标，保证单细胞核悬液的质量。</w:t>
      </w:r>
    </w:p>
    <w:p>
      <w:pPr>
        <w:spacing w:line="360" w:lineRule="auto"/>
        <w:contextualSpacing/>
        <w:rPr>
          <w:rFonts w:ascii="仿宋" w:hAnsi="仿宋" w:eastAsia="仿宋"/>
          <w:sz w:val="24"/>
        </w:rPr>
      </w:pPr>
      <w:r>
        <w:rPr>
          <w:rFonts w:hint="eastAsia" w:ascii="仿宋" w:hAnsi="仿宋" w:eastAsia="仿宋"/>
          <w:sz w:val="24"/>
        </w:rPr>
        <w:t>8.3、样本质检要求：活细胞比例＜5%；显微镜下，细胞核形态完整；尽量去除细胞碎片和细胞团，抽提后细胞核总量≥5w。</w:t>
      </w:r>
    </w:p>
    <w:p>
      <w:pPr>
        <w:spacing w:line="360" w:lineRule="auto"/>
        <w:contextualSpacing/>
        <w:rPr>
          <w:rFonts w:ascii="仿宋" w:hAnsi="仿宋" w:eastAsia="仿宋"/>
          <w:sz w:val="24"/>
        </w:rPr>
      </w:pPr>
      <w:r>
        <w:rPr>
          <w:rFonts w:hint="eastAsia" w:ascii="仿宋" w:hAnsi="仿宋" w:eastAsia="仿宋"/>
          <w:sz w:val="24"/>
        </w:rPr>
        <w:t>8.4、采用10X Genomics的单细胞建库仪器及原装配套试剂进行单细胞文库的构建。</w:t>
      </w:r>
    </w:p>
    <w:p>
      <w:pPr>
        <w:spacing w:line="360" w:lineRule="auto"/>
        <w:contextualSpacing/>
        <w:rPr>
          <w:rFonts w:ascii="仿宋" w:hAnsi="仿宋" w:eastAsia="仿宋"/>
          <w:sz w:val="24"/>
        </w:rPr>
      </w:pPr>
      <w:r>
        <w:rPr>
          <w:rFonts w:hint="eastAsia" w:ascii="仿宋" w:hAnsi="仿宋" w:eastAsia="仿宋"/>
          <w:sz w:val="24"/>
        </w:rPr>
        <w:t>8.5、细胞数量≥10000个/sample，数据量≥40G/sample，高质量fragments中位数≥1000/细胞。</w:t>
      </w:r>
    </w:p>
    <w:p>
      <w:pPr>
        <w:spacing w:line="360" w:lineRule="auto"/>
        <w:contextualSpacing/>
        <w:rPr>
          <w:rFonts w:ascii="仿宋" w:hAnsi="仿宋" w:eastAsia="仿宋"/>
          <w:sz w:val="24"/>
        </w:rPr>
      </w:pPr>
      <w:r>
        <w:rPr>
          <w:rFonts w:hint="eastAsia" w:ascii="仿宋" w:hAnsi="仿宋" w:eastAsia="仿宋"/>
          <w:sz w:val="24"/>
        </w:rPr>
        <w:t>8.6、二代高通量测序Illumina NovaSeq 6000平台，测序策略 PE50。</w:t>
      </w:r>
    </w:p>
    <w:p>
      <w:pPr>
        <w:spacing w:line="360" w:lineRule="auto"/>
        <w:contextualSpacing/>
        <w:rPr>
          <w:rFonts w:ascii="仿宋" w:hAnsi="仿宋" w:eastAsia="仿宋"/>
          <w:sz w:val="24"/>
        </w:rPr>
      </w:pPr>
      <w:r>
        <w:rPr>
          <w:rFonts w:hint="eastAsia" w:ascii="仿宋" w:hAnsi="仿宋" w:eastAsia="仿宋"/>
          <w:sz w:val="24"/>
        </w:rPr>
        <w:t>8.7、投标人提供以下标准信息分析内容，包括：</w:t>
      </w:r>
    </w:p>
    <w:p>
      <w:pPr>
        <w:spacing w:line="360" w:lineRule="auto"/>
        <w:contextualSpacing/>
        <w:rPr>
          <w:rFonts w:ascii="仿宋" w:hAnsi="仿宋" w:eastAsia="仿宋"/>
          <w:sz w:val="24"/>
        </w:rPr>
      </w:pPr>
      <w:r>
        <w:rPr>
          <w:rFonts w:hint="eastAsia" w:ascii="仿宋" w:hAnsi="仿宋" w:eastAsia="仿宋"/>
          <w:sz w:val="24"/>
        </w:rPr>
        <w:t>1）原始数据质量评估；</w:t>
      </w:r>
    </w:p>
    <w:p>
      <w:pPr>
        <w:spacing w:line="360" w:lineRule="auto"/>
        <w:contextualSpacing/>
        <w:rPr>
          <w:rFonts w:ascii="仿宋" w:hAnsi="仿宋" w:eastAsia="仿宋"/>
          <w:sz w:val="24"/>
        </w:rPr>
      </w:pPr>
      <w:r>
        <w:rPr>
          <w:rFonts w:hint="eastAsia" w:ascii="仿宋" w:hAnsi="仿宋" w:eastAsia="仿宋"/>
          <w:sz w:val="24"/>
        </w:rPr>
        <w:t>2）有效 Barcode 统计，文库复杂度，插入片段统计；</w:t>
      </w:r>
    </w:p>
    <w:p>
      <w:pPr>
        <w:spacing w:line="360" w:lineRule="auto"/>
        <w:contextualSpacing/>
        <w:rPr>
          <w:rFonts w:ascii="仿宋" w:hAnsi="仿宋" w:eastAsia="仿宋"/>
          <w:sz w:val="24"/>
        </w:rPr>
      </w:pPr>
      <w:r>
        <w:rPr>
          <w:rFonts w:hint="eastAsia" w:ascii="仿宋" w:hAnsi="仿宋" w:eastAsia="仿宋"/>
          <w:sz w:val="24"/>
        </w:rPr>
        <w:t>3）数据比对去重复，fragments 比对区域统计；</w:t>
      </w:r>
    </w:p>
    <w:p>
      <w:pPr>
        <w:spacing w:line="360" w:lineRule="auto"/>
        <w:contextualSpacing/>
        <w:rPr>
          <w:rFonts w:ascii="仿宋" w:hAnsi="仿宋" w:eastAsia="仿宋"/>
          <w:sz w:val="24"/>
        </w:rPr>
      </w:pPr>
      <w:r>
        <w:rPr>
          <w:rFonts w:hint="eastAsia" w:ascii="仿宋" w:hAnsi="仿宋" w:eastAsia="仿宋"/>
          <w:sz w:val="24"/>
        </w:rPr>
        <w:t>4）peak鉴定及信号强度统计；</w:t>
      </w:r>
    </w:p>
    <w:p>
      <w:pPr>
        <w:spacing w:line="360" w:lineRule="auto"/>
        <w:contextualSpacing/>
        <w:rPr>
          <w:rFonts w:ascii="仿宋" w:hAnsi="仿宋" w:eastAsia="仿宋"/>
          <w:sz w:val="24"/>
        </w:rPr>
      </w:pPr>
      <w:r>
        <w:rPr>
          <w:rFonts w:hint="eastAsia" w:ascii="仿宋" w:hAnsi="仿宋" w:eastAsia="仿宋"/>
          <w:sz w:val="24"/>
        </w:rPr>
        <w:t>5）barcode过滤，识别有效细胞，进行细胞计数；</w:t>
      </w:r>
    </w:p>
    <w:p>
      <w:pPr>
        <w:spacing w:line="360" w:lineRule="auto"/>
        <w:contextualSpacing/>
        <w:rPr>
          <w:rFonts w:ascii="仿宋" w:hAnsi="仿宋" w:eastAsia="仿宋"/>
          <w:sz w:val="24"/>
        </w:rPr>
      </w:pPr>
      <w:r>
        <w:rPr>
          <w:rFonts w:hint="eastAsia" w:ascii="仿宋" w:hAnsi="仿宋" w:eastAsia="仿宋"/>
          <w:sz w:val="24"/>
        </w:rPr>
        <w:t>6）降维和聚类分析，提供t-SNE 降维结果展示；</w:t>
      </w:r>
    </w:p>
    <w:p>
      <w:pPr>
        <w:spacing w:line="360" w:lineRule="auto"/>
        <w:contextualSpacing/>
        <w:rPr>
          <w:rFonts w:ascii="仿宋" w:hAnsi="仿宋" w:eastAsia="仿宋"/>
          <w:sz w:val="24"/>
        </w:rPr>
      </w:pPr>
      <w:r>
        <w:rPr>
          <w:rFonts w:hint="eastAsia" w:ascii="仿宋" w:hAnsi="仿宋" w:eastAsia="仿宋"/>
          <w:sz w:val="24"/>
        </w:rPr>
        <w:t>7）提供 10x Cell Ranger ATAC Web Summary 网页版分析报告；</w:t>
      </w:r>
    </w:p>
    <w:p>
      <w:pPr>
        <w:spacing w:line="360" w:lineRule="auto"/>
        <w:contextualSpacing/>
        <w:rPr>
          <w:rFonts w:ascii="仿宋" w:hAnsi="仿宋" w:eastAsia="仿宋"/>
          <w:sz w:val="24"/>
        </w:rPr>
      </w:pPr>
      <w:r>
        <w:rPr>
          <w:rFonts w:hint="eastAsia" w:ascii="仿宋" w:hAnsi="仿宋" w:eastAsia="仿宋"/>
          <w:sz w:val="24"/>
        </w:rPr>
        <w:t>8）进行数据预处理和质量评估，细胞过滤；</w:t>
      </w:r>
    </w:p>
    <w:p>
      <w:pPr>
        <w:spacing w:line="360" w:lineRule="auto"/>
        <w:contextualSpacing/>
        <w:rPr>
          <w:rFonts w:ascii="仿宋" w:hAnsi="仿宋" w:eastAsia="仿宋"/>
          <w:sz w:val="24"/>
        </w:rPr>
      </w:pPr>
      <w:r>
        <w:rPr>
          <w:rFonts w:hint="eastAsia" w:ascii="仿宋" w:hAnsi="仿宋" w:eastAsia="仿宋"/>
          <w:sz w:val="24"/>
        </w:rPr>
        <w:t>9）差异 peak分析，得到开放区域；</w:t>
      </w:r>
    </w:p>
    <w:p>
      <w:pPr>
        <w:spacing w:line="360" w:lineRule="auto"/>
        <w:contextualSpacing/>
        <w:rPr>
          <w:rFonts w:ascii="仿宋" w:hAnsi="仿宋" w:eastAsia="仿宋"/>
          <w:sz w:val="24"/>
        </w:rPr>
      </w:pPr>
      <w:r>
        <w:rPr>
          <w:rFonts w:hint="eastAsia" w:ascii="仿宋" w:hAnsi="仿宋" w:eastAsia="仿宋"/>
          <w:sz w:val="24"/>
        </w:rPr>
        <w:t>10）对开放区域的转录因子 motif 富集分析；</w:t>
      </w:r>
    </w:p>
    <w:p>
      <w:pPr>
        <w:spacing w:line="360" w:lineRule="auto"/>
        <w:contextualSpacing/>
        <w:rPr>
          <w:rFonts w:ascii="仿宋" w:hAnsi="仿宋" w:eastAsia="仿宋"/>
          <w:sz w:val="24"/>
        </w:rPr>
      </w:pPr>
      <w:r>
        <w:rPr>
          <w:rFonts w:hint="eastAsia" w:ascii="仿宋" w:hAnsi="仿宋" w:eastAsia="仿宋"/>
          <w:sz w:val="24"/>
        </w:rPr>
        <w:t>11）peak 注释，包括位置和功能信息；</w:t>
      </w:r>
    </w:p>
    <w:p>
      <w:pPr>
        <w:spacing w:line="360" w:lineRule="auto"/>
        <w:contextualSpacing/>
        <w:rPr>
          <w:rFonts w:ascii="仿宋" w:hAnsi="仿宋" w:eastAsia="仿宋"/>
          <w:sz w:val="24"/>
        </w:rPr>
      </w:pPr>
      <w:r>
        <w:rPr>
          <w:rFonts w:hint="eastAsia" w:ascii="仿宋" w:hAnsi="仿宋" w:eastAsia="仿宋"/>
          <w:sz w:val="24"/>
        </w:rPr>
        <w:t>12）差异peak相关基因功能富集，包括 GO和KEGG，Reactome(仅限于人和小鼠)</w:t>
      </w:r>
    </w:p>
    <w:p>
      <w:pPr>
        <w:spacing w:line="360" w:lineRule="auto"/>
        <w:contextualSpacing/>
        <w:rPr>
          <w:rFonts w:ascii="仿宋" w:hAnsi="仿宋" w:eastAsia="仿宋"/>
          <w:sz w:val="24"/>
        </w:rPr>
      </w:pPr>
      <w:r>
        <w:rPr>
          <w:rFonts w:hint="eastAsia" w:ascii="仿宋" w:hAnsi="仿宋" w:eastAsia="仿宋"/>
          <w:sz w:val="24"/>
        </w:rPr>
        <w:t>8.8、项目周期：自样本检测全部合格，项目启动之日起25个自然日之内必须完成全部检测项目。</w:t>
      </w:r>
    </w:p>
    <w:p>
      <w:pPr>
        <w:spacing w:line="360" w:lineRule="auto"/>
        <w:contextualSpacing/>
        <w:rPr>
          <w:rFonts w:ascii="仿宋" w:hAnsi="仿宋" w:eastAsia="仿宋"/>
          <w:sz w:val="24"/>
        </w:rPr>
      </w:pPr>
      <w:r>
        <w:rPr>
          <w:rFonts w:hint="eastAsia" w:ascii="仿宋" w:hAnsi="仿宋" w:eastAsia="仿宋"/>
          <w:sz w:val="24"/>
        </w:rPr>
        <w:t>8.9、投标人需自主拥有5台及以上10X Genomics的单细胞建库仪器设备，不允许外包其他投标人。</w:t>
      </w:r>
    </w:p>
    <w:p>
      <w:pPr>
        <w:spacing w:line="360" w:lineRule="auto"/>
        <w:contextualSpacing/>
        <w:rPr>
          <w:rFonts w:ascii="仿宋" w:hAnsi="仿宋" w:eastAsia="仿宋"/>
          <w:sz w:val="24"/>
        </w:rPr>
      </w:pPr>
      <w:r>
        <w:rPr>
          <w:rFonts w:hint="eastAsia" w:ascii="仿宋" w:hAnsi="仿宋" w:eastAsia="仿宋"/>
          <w:sz w:val="24"/>
        </w:rPr>
        <w:t>9、Chip-seq</w:t>
      </w:r>
    </w:p>
    <w:p>
      <w:pPr>
        <w:spacing w:line="360" w:lineRule="auto"/>
        <w:contextualSpacing/>
        <w:rPr>
          <w:rFonts w:ascii="仿宋" w:hAnsi="仿宋" w:eastAsia="仿宋"/>
          <w:sz w:val="24"/>
        </w:rPr>
      </w:pPr>
      <w:r>
        <w:rPr>
          <w:rFonts w:hint="eastAsia" w:ascii="仿宋" w:hAnsi="仿宋" w:eastAsia="仿宋"/>
          <w:sz w:val="24"/>
        </w:rPr>
        <w:t>9.1、完成15例样本提供Chip测序以及生物信息学分析服务，需要对测序数据进行严格的质量控制与精准的数据分析。</w:t>
      </w:r>
    </w:p>
    <w:p>
      <w:pPr>
        <w:spacing w:line="360" w:lineRule="auto"/>
        <w:contextualSpacing/>
        <w:rPr>
          <w:rFonts w:ascii="仿宋" w:hAnsi="仿宋" w:eastAsia="仿宋"/>
          <w:sz w:val="24"/>
        </w:rPr>
      </w:pPr>
      <w:r>
        <w:rPr>
          <w:rFonts w:hint="eastAsia" w:ascii="仿宋" w:hAnsi="仿宋" w:eastAsia="仿宋"/>
          <w:sz w:val="24"/>
        </w:rPr>
        <w:t>9.2、对采购方提供的样本进行IP 实验，并对IP产物进行质检，IP产物质检要求：单次建库大于 10ng，浓度≥2ng/μl，20μl≤体积≤120μl，片段大小分布建议在100-500bp。</w:t>
      </w:r>
    </w:p>
    <w:p>
      <w:pPr>
        <w:spacing w:line="360" w:lineRule="auto"/>
        <w:contextualSpacing/>
        <w:rPr>
          <w:rFonts w:ascii="仿宋" w:hAnsi="仿宋" w:eastAsia="仿宋"/>
          <w:sz w:val="24"/>
        </w:rPr>
      </w:pPr>
      <w:r>
        <w:rPr>
          <w:rFonts w:hint="eastAsia" w:ascii="仿宋" w:hAnsi="仿宋" w:eastAsia="仿宋"/>
          <w:sz w:val="24"/>
        </w:rPr>
        <w:t>9.3、测序平台</w:t>
      </w:r>
    </w:p>
    <w:p>
      <w:pPr>
        <w:spacing w:line="360" w:lineRule="auto"/>
        <w:ind w:firstLine="480" w:firstLineChars="200"/>
        <w:contextualSpacing/>
        <w:rPr>
          <w:rFonts w:ascii="仿宋" w:hAnsi="仿宋" w:eastAsia="仿宋"/>
          <w:sz w:val="24"/>
        </w:rPr>
      </w:pPr>
      <w:r>
        <w:rPr>
          <w:rFonts w:hint="eastAsia" w:ascii="仿宋" w:hAnsi="仿宋" w:eastAsia="仿宋"/>
          <w:sz w:val="24"/>
        </w:rPr>
        <w:t>投标人采用二代高通量测序平台进行测序，测序策略为PE150。</w:t>
      </w:r>
    </w:p>
    <w:p>
      <w:pPr>
        <w:spacing w:line="360" w:lineRule="auto"/>
        <w:contextualSpacing/>
        <w:rPr>
          <w:rFonts w:ascii="仿宋" w:hAnsi="仿宋" w:eastAsia="仿宋"/>
          <w:sz w:val="24"/>
        </w:rPr>
      </w:pPr>
      <w:r>
        <w:rPr>
          <w:rFonts w:hint="eastAsia" w:ascii="仿宋" w:hAnsi="仿宋" w:eastAsia="仿宋"/>
          <w:sz w:val="24"/>
        </w:rPr>
        <w:t>9.4、测序数据量：</w:t>
      </w:r>
    </w:p>
    <w:p>
      <w:pPr>
        <w:spacing w:line="360" w:lineRule="auto"/>
        <w:ind w:firstLine="480" w:firstLineChars="200"/>
        <w:contextualSpacing/>
        <w:rPr>
          <w:rFonts w:ascii="仿宋" w:hAnsi="仿宋" w:eastAsia="仿宋"/>
          <w:sz w:val="24"/>
        </w:rPr>
      </w:pPr>
      <w:r>
        <w:rPr>
          <w:rFonts w:hint="eastAsia" w:ascii="仿宋" w:hAnsi="仿宋" w:eastAsia="仿宋"/>
          <w:sz w:val="24"/>
        </w:rPr>
        <w:t>平均每个chip样品测序产生的原始数据量≥6G，每个样品的input测序产生的原始数据量≥6G。</w:t>
      </w:r>
    </w:p>
    <w:p>
      <w:pPr>
        <w:spacing w:line="360" w:lineRule="auto"/>
        <w:contextualSpacing/>
        <w:rPr>
          <w:rFonts w:ascii="仿宋" w:hAnsi="仿宋" w:eastAsia="仿宋"/>
          <w:sz w:val="24"/>
        </w:rPr>
      </w:pPr>
      <w:r>
        <w:rPr>
          <w:rFonts w:hint="eastAsia" w:ascii="仿宋" w:hAnsi="仿宋" w:eastAsia="仿宋"/>
          <w:sz w:val="24"/>
        </w:rPr>
        <w:t>9.5、测序质量：</w:t>
      </w:r>
    </w:p>
    <w:p>
      <w:pPr>
        <w:spacing w:line="360" w:lineRule="auto"/>
        <w:ind w:firstLine="480" w:firstLineChars="200"/>
        <w:contextualSpacing/>
        <w:rPr>
          <w:rFonts w:ascii="仿宋" w:hAnsi="仿宋" w:eastAsia="仿宋"/>
          <w:sz w:val="24"/>
        </w:rPr>
      </w:pPr>
      <w:r>
        <w:rPr>
          <w:rFonts w:hint="eastAsia" w:ascii="仿宋" w:hAnsi="仿宋" w:eastAsia="仿宋"/>
          <w:sz w:val="24"/>
        </w:rPr>
        <w:t>过滤后获得的有效数据在Q30水平（即碱基正确识别率超过99.9%）的碱基占总体碱基的比例≥85%；在Q20水平（即碱基正确识别率超过99%）的碱基占总体碱基的比例≥90%。</w:t>
      </w:r>
    </w:p>
    <w:p>
      <w:pPr>
        <w:spacing w:line="360" w:lineRule="auto"/>
        <w:contextualSpacing/>
        <w:rPr>
          <w:rFonts w:ascii="仿宋" w:hAnsi="仿宋" w:eastAsia="仿宋"/>
          <w:sz w:val="24"/>
        </w:rPr>
      </w:pPr>
      <w:r>
        <w:rPr>
          <w:rFonts w:hint="eastAsia" w:ascii="仿宋" w:hAnsi="仿宋" w:eastAsia="仿宋"/>
          <w:sz w:val="24"/>
        </w:rPr>
        <w:t>9.6、生物信息学分析：</w:t>
      </w:r>
    </w:p>
    <w:p>
      <w:pPr>
        <w:spacing w:line="360" w:lineRule="auto"/>
        <w:contextualSpacing/>
        <w:rPr>
          <w:rFonts w:ascii="仿宋" w:hAnsi="仿宋" w:eastAsia="仿宋"/>
          <w:sz w:val="24"/>
        </w:rPr>
      </w:pPr>
      <w:r>
        <w:rPr>
          <w:rFonts w:hint="eastAsia" w:ascii="仿宋" w:hAnsi="仿宋" w:eastAsia="仿宋"/>
          <w:sz w:val="24"/>
        </w:rPr>
        <w:t>1）对原始数据进行去除接头、污染序列及低质量 reads 的处理；</w:t>
      </w:r>
    </w:p>
    <w:p>
      <w:pPr>
        <w:spacing w:line="360" w:lineRule="auto"/>
        <w:contextualSpacing/>
        <w:rPr>
          <w:rFonts w:ascii="仿宋" w:hAnsi="仿宋" w:eastAsia="仿宋"/>
          <w:sz w:val="24"/>
        </w:rPr>
      </w:pPr>
      <w:r>
        <w:rPr>
          <w:rFonts w:hint="eastAsia" w:ascii="仿宋" w:hAnsi="仿宋" w:eastAsia="仿宋"/>
          <w:sz w:val="24"/>
        </w:rPr>
        <w:t>2）数据产出统计及测序数据的成分和质量评估；</w:t>
      </w:r>
    </w:p>
    <w:p>
      <w:pPr>
        <w:spacing w:line="360" w:lineRule="auto"/>
        <w:contextualSpacing/>
        <w:rPr>
          <w:rFonts w:ascii="仿宋" w:hAnsi="仿宋" w:eastAsia="仿宋"/>
          <w:sz w:val="24"/>
        </w:rPr>
      </w:pPr>
      <w:r>
        <w:rPr>
          <w:rFonts w:hint="eastAsia" w:ascii="仿宋" w:hAnsi="仿宋" w:eastAsia="仿宋"/>
          <w:sz w:val="24"/>
        </w:rPr>
        <w:t>3）参考序列比对分析；</w:t>
      </w:r>
    </w:p>
    <w:p>
      <w:pPr>
        <w:spacing w:line="360" w:lineRule="auto"/>
        <w:contextualSpacing/>
        <w:rPr>
          <w:rFonts w:ascii="仿宋" w:hAnsi="仿宋" w:eastAsia="仿宋"/>
          <w:sz w:val="24"/>
        </w:rPr>
      </w:pPr>
      <w:r>
        <w:rPr>
          <w:rFonts w:hint="eastAsia" w:ascii="仿宋" w:hAnsi="仿宋" w:eastAsia="仿宋"/>
          <w:sz w:val="24"/>
        </w:rPr>
        <w:t>4）ChIP 测序 reads 的分布统计(全基因组、功能元件、TSS 位点附近)；</w:t>
      </w:r>
    </w:p>
    <w:p>
      <w:pPr>
        <w:spacing w:line="360" w:lineRule="auto"/>
        <w:contextualSpacing/>
        <w:rPr>
          <w:rFonts w:ascii="仿宋" w:hAnsi="仿宋" w:eastAsia="仿宋"/>
          <w:sz w:val="24"/>
        </w:rPr>
      </w:pPr>
      <w:r>
        <w:rPr>
          <w:rFonts w:hint="eastAsia" w:ascii="仿宋" w:hAnsi="仿宋" w:eastAsia="仿宋"/>
          <w:sz w:val="24"/>
        </w:rPr>
        <w:t>5）ChIP 测序 reads 富集区域扫描(peak calling)；</w:t>
      </w:r>
    </w:p>
    <w:p>
      <w:pPr>
        <w:spacing w:line="360" w:lineRule="auto"/>
        <w:contextualSpacing/>
        <w:rPr>
          <w:rFonts w:ascii="仿宋" w:hAnsi="仿宋" w:eastAsia="仿宋"/>
          <w:sz w:val="24"/>
        </w:rPr>
      </w:pPr>
      <w:r>
        <w:rPr>
          <w:rFonts w:hint="eastAsia" w:ascii="仿宋" w:hAnsi="仿宋" w:eastAsia="仿宋"/>
          <w:sz w:val="24"/>
        </w:rPr>
        <w:t>6）Peak 长度分布统计；</w:t>
      </w:r>
    </w:p>
    <w:p>
      <w:pPr>
        <w:spacing w:line="360" w:lineRule="auto"/>
        <w:contextualSpacing/>
        <w:rPr>
          <w:rFonts w:ascii="仿宋" w:hAnsi="仿宋" w:eastAsia="仿宋"/>
          <w:sz w:val="24"/>
        </w:rPr>
      </w:pPr>
      <w:r>
        <w:rPr>
          <w:rFonts w:hint="eastAsia" w:ascii="仿宋" w:hAnsi="仿宋" w:eastAsia="仿宋"/>
          <w:sz w:val="24"/>
        </w:rPr>
        <w:t>7）Peak 在基因功能元件上的分布统计；</w:t>
      </w:r>
    </w:p>
    <w:p>
      <w:pPr>
        <w:spacing w:line="360" w:lineRule="auto"/>
        <w:contextualSpacing/>
        <w:rPr>
          <w:rFonts w:ascii="仿宋" w:hAnsi="仿宋" w:eastAsia="仿宋"/>
          <w:sz w:val="24"/>
        </w:rPr>
      </w:pPr>
      <w:r>
        <w:rPr>
          <w:rFonts w:hint="eastAsia" w:ascii="仿宋" w:hAnsi="仿宋" w:eastAsia="仿宋"/>
          <w:sz w:val="24"/>
        </w:rPr>
        <w:t>8）Peak 序列模式发掘(motif search)；</w:t>
      </w:r>
    </w:p>
    <w:p>
      <w:pPr>
        <w:spacing w:line="360" w:lineRule="auto"/>
        <w:contextualSpacing/>
        <w:rPr>
          <w:rFonts w:ascii="仿宋" w:hAnsi="仿宋" w:eastAsia="仿宋"/>
          <w:sz w:val="24"/>
        </w:rPr>
      </w:pPr>
      <w:r>
        <w:rPr>
          <w:rFonts w:hint="eastAsia" w:ascii="仿宋" w:hAnsi="仿宋" w:eastAsia="仿宋"/>
          <w:sz w:val="24"/>
        </w:rPr>
        <w:t>9）已知 motif 注释和 motif 相关功能预测；</w:t>
      </w:r>
    </w:p>
    <w:p>
      <w:pPr>
        <w:spacing w:line="360" w:lineRule="auto"/>
        <w:contextualSpacing/>
        <w:rPr>
          <w:rFonts w:ascii="仿宋" w:hAnsi="仿宋" w:eastAsia="仿宋"/>
          <w:sz w:val="24"/>
        </w:rPr>
      </w:pPr>
      <w:r>
        <w:rPr>
          <w:rFonts w:hint="eastAsia" w:ascii="仿宋" w:hAnsi="仿宋" w:eastAsia="仿宋"/>
          <w:sz w:val="24"/>
        </w:rPr>
        <w:t>10）Peak 相关基因鉴定；</w:t>
      </w:r>
    </w:p>
    <w:p>
      <w:pPr>
        <w:spacing w:line="360" w:lineRule="auto"/>
        <w:contextualSpacing/>
        <w:rPr>
          <w:rFonts w:ascii="仿宋" w:hAnsi="仿宋" w:eastAsia="仿宋"/>
          <w:sz w:val="24"/>
        </w:rPr>
      </w:pPr>
      <w:r>
        <w:rPr>
          <w:rFonts w:hint="eastAsia" w:ascii="仿宋" w:hAnsi="仿宋" w:eastAsia="仿宋"/>
          <w:sz w:val="24"/>
        </w:rPr>
        <w:t>11）Peak 相关基因的 GO 和 KEGG 富集分析；</w:t>
      </w:r>
    </w:p>
    <w:p>
      <w:pPr>
        <w:spacing w:line="360" w:lineRule="auto"/>
        <w:contextualSpacing/>
        <w:rPr>
          <w:rFonts w:ascii="仿宋" w:hAnsi="仿宋" w:eastAsia="仿宋"/>
          <w:sz w:val="24"/>
        </w:rPr>
      </w:pPr>
      <w:r>
        <w:rPr>
          <w:rFonts w:hint="eastAsia" w:ascii="仿宋" w:hAnsi="仿宋" w:eastAsia="仿宋"/>
          <w:sz w:val="24"/>
        </w:rPr>
        <w:t>12）ChIP 测序数据的差异分析(≥2 个样本)；</w:t>
      </w:r>
    </w:p>
    <w:p>
      <w:pPr>
        <w:spacing w:line="360" w:lineRule="auto"/>
        <w:contextualSpacing/>
        <w:rPr>
          <w:rFonts w:ascii="仿宋" w:hAnsi="仿宋" w:eastAsia="仿宋"/>
          <w:sz w:val="24"/>
        </w:rPr>
      </w:pPr>
      <w:r>
        <w:rPr>
          <w:rFonts w:hint="eastAsia" w:ascii="仿宋" w:hAnsi="仿宋" w:eastAsia="仿宋"/>
          <w:sz w:val="24"/>
        </w:rPr>
        <w:t>13）ChIP 测序数据的可视化分析；</w:t>
      </w:r>
    </w:p>
    <w:p>
      <w:pPr>
        <w:spacing w:line="360" w:lineRule="auto"/>
        <w:contextualSpacing/>
        <w:rPr>
          <w:rFonts w:ascii="仿宋" w:hAnsi="仿宋" w:eastAsia="仿宋"/>
          <w:sz w:val="24"/>
        </w:rPr>
      </w:pPr>
      <w:r>
        <w:rPr>
          <w:rFonts w:hint="eastAsia" w:ascii="仿宋" w:hAnsi="仿宋" w:eastAsia="仿宋"/>
          <w:sz w:val="24"/>
        </w:rPr>
        <w:t>9.7、项目周期：每批样本的测序周期从送样开始，完成所有测序、数据处理工作及提供结题所需时间≤20个自然日。</w:t>
      </w:r>
    </w:p>
    <w:p>
      <w:pPr>
        <w:spacing w:line="360" w:lineRule="auto"/>
        <w:contextualSpacing/>
        <w:rPr>
          <w:rFonts w:ascii="仿宋" w:hAnsi="仿宋" w:eastAsia="仿宋"/>
          <w:sz w:val="24"/>
        </w:rPr>
      </w:pPr>
      <w:r>
        <w:rPr>
          <w:rFonts w:hint="eastAsia" w:ascii="仿宋" w:hAnsi="仿宋" w:eastAsia="仿宋"/>
          <w:sz w:val="24"/>
        </w:rPr>
        <w:t>10、RNA测序</w:t>
      </w:r>
    </w:p>
    <w:p>
      <w:pPr>
        <w:spacing w:line="360" w:lineRule="auto"/>
        <w:ind w:firstLine="480" w:firstLineChars="200"/>
        <w:contextualSpacing/>
        <w:rPr>
          <w:rFonts w:ascii="仿宋" w:hAnsi="仿宋" w:eastAsia="仿宋"/>
          <w:sz w:val="24"/>
        </w:rPr>
      </w:pPr>
      <w:r>
        <w:rPr>
          <w:rFonts w:hint="eastAsia" w:ascii="仿宋" w:hAnsi="仿宋" w:eastAsia="仿宋"/>
          <w:sz w:val="24"/>
        </w:rPr>
        <w:t>可处理血液、组织、菌体、病毒等多种样本类型，将提取的RNA反转录成cDNA，利用illumina系列或华大系列测序仪对80个样本进行测序，测序策略为PE150，数据量≥30G，每个样品提供测序服务，结果返回原始数据fastq文件。</w:t>
      </w:r>
    </w:p>
    <w:p>
      <w:pPr>
        <w:spacing w:line="360" w:lineRule="auto"/>
        <w:contextualSpacing/>
        <w:rPr>
          <w:rFonts w:ascii="仿宋" w:hAnsi="仿宋" w:eastAsia="仿宋"/>
          <w:sz w:val="24"/>
        </w:rPr>
      </w:pPr>
      <w:r>
        <w:rPr>
          <w:rFonts w:hint="eastAsia" w:ascii="仿宋" w:hAnsi="仿宋" w:eastAsia="仿宋"/>
          <w:sz w:val="24"/>
        </w:rPr>
        <w:t>11、高通量DNA测序</w:t>
      </w:r>
    </w:p>
    <w:p>
      <w:pPr>
        <w:spacing w:line="360" w:lineRule="auto"/>
        <w:ind w:firstLine="480" w:firstLineChars="200"/>
        <w:contextualSpacing/>
        <w:rPr>
          <w:rFonts w:ascii="仿宋" w:hAnsi="仿宋" w:eastAsia="仿宋"/>
          <w:sz w:val="24"/>
        </w:rPr>
      </w:pPr>
      <w:r>
        <w:rPr>
          <w:rFonts w:hint="eastAsia" w:ascii="仿宋" w:hAnsi="仿宋" w:eastAsia="仿宋"/>
          <w:sz w:val="24"/>
        </w:rPr>
        <w:t>可处理血液、组织、菌体、病毒等多种样本类型，将提取好的DNA进行建库测序，利用illumina系列或华大系列测序仪对35个样本进行检测，测序策略为PE150，数据量≥90G，每个样品提供测序服务，结果返回原始数据fastq文件。</w:t>
      </w:r>
    </w:p>
    <w:p>
      <w:pPr>
        <w:spacing w:line="360" w:lineRule="auto"/>
        <w:contextualSpacing/>
        <w:rPr>
          <w:rFonts w:ascii="仿宋" w:hAnsi="仿宋" w:eastAsia="仿宋"/>
          <w:sz w:val="24"/>
        </w:rPr>
      </w:pPr>
      <w:r>
        <w:rPr>
          <w:rFonts w:hint="eastAsia" w:ascii="仿宋" w:hAnsi="仿宋" w:eastAsia="仿宋"/>
          <w:sz w:val="24"/>
        </w:rPr>
        <w:t>12、碱基测序</w:t>
      </w:r>
    </w:p>
    <w:p>
      <w:pPr>
        <w:spacing w:line="360" w:lineRule="auto"/>
        <w:contextualSpacing/>
        <w:rPr>
          <w:rFonts w:ascii="仿宋" w:hAnsi="仿宋" w:eastAsia="仿宋"/>
          <w:sz w:val="24"/>
        </w:rPr>
      </w:pPr>
      <w:r>
        <w:rPr>
          <w:rFonts w:hint="eastAsia" w:ascii="仿宋" w:hAnsi="仿宋" w:eastAsia="仿宋"/>
          <w:sz w:val="24"/>
        </w:rPr>
        <w:t>12.1、对3000例样本完成碱基测序。</w:t>
      </w:r>
    </w:p>
    <w:p>
      <w:pPr>
        <w:spacing w:line="360" w:lineRule="auto"/>
        <w:contextualSpacing/>
        <w:rPr>
          <w:rFonts w:ascii="仿宋" w:hAnsi="仿宋" w:eastAsia="仿宋"/>
          <w:sz w:val="24"/>
        </w:rPr>
      </w:pPr>
      <w:r>
        <w:rPr>
          <w:rFonts w:hint="eastAsia" w:ascii="仿宋" w:hAnsi="仿宋" w:eastAsia="仿宋"/>
          <w:sz w:val="24"/>
        </w:rPr>
        <w:t>12.2、投标人测序平台要求：拥有10台以上二三代测序平台，包括但不限于Illumina，DNBSEQ-T7，Pacbio，Nanopore。有能力和实力确保委托方项目质量与周期。</w:t>
      </w:r>
    </w:p>
    <w:p>
      <w:pPr>
        <w:spacing w:line="360" w:lineRule="auto"/>
        <w:contextualSpacing/>
        <w:rPr>
          <w:rFonts w:ascii="仿宋" w:hAnsi="仿宋" w:eastAsia="仿宋"/>
          <w:sz w:val="24"/>
        </w:rPr>
      </w:pPr>
      <w:r>
        <w:rPr>
          <w:rFonts w:hint="eastAsia" w:ascii="仿宋" w:hAnsi="仿宋" w:eastAsia="仿宋"/>
          <w:sz w:val="24"/>
        </w:rPr>
        <w:t>13、特殊转录组</w:t>
      </w:r>
    </w:p>
    <w:p>
      <w:pPr>
        <w:spacing w:line="360" w:lineRule="auto"/>
        <w:contextualSpacing/>
        <w:rPr>
          <w:rFonts w:ascii="仿宋" w:hAnsi="仿宋" w:eastAsia="仿宋"/>
          <w:sz w:val="24"/>
        </w:rPr>
      </w:pPr>
      <w:r>
        <w:rPr>
          <w:rFonts w:hint="eastAsia" w:ascii="仿宋" w:hAnsi="仿宋" w:eastAsia="仿宋"/>
          <w:sz w:val="24"/>
        </w:rPr>
        <w:t>13.1、完成120例人的样本的Total RNA提取并进行RNA样本检测。</w:t>
      </w:r>
    </w:p>
    <w:p>
      <w:pPr>
        <w:spacing w:line="360" w:lineRule="auto"/>
        <w:contextualSpacing/>
        <w:rPr>
          <w:rFonts w:ascii="仿宋" w:hAnsi="仿宋" w:eastAsia="仿宋"/>
          <w:sz w:val="24"/>
        </w:rPr>
      </w:pPr>
      <w:r>
        <w:rPr>
          <w:rFonts w:hint="eastAsia" w:ascii="仿宋" w:hAnsi="仿宋" w:eastAsia="仿宋"/>
          <w:sz w:val="24"/>
        </w:rPr>
        <w:t>13.2、完成mRNA建库，通过polyA尾富集mRNA，采用原装进口建库试剂盒。</w:t>
      </w:r>
    </w:p>
    <w:p>
      <w:pPr>
        <w:spacing w:line="360" w:lineRule="auto"/>
        <w:contextualSpacing/>
        <w:rPr>
          <w:rFonts w:ascii="仿宋" w:hAnsi="仿宋" w:eastAsia="仿宋"/>
          <w:sz w:val="24"/>
        </w:rPr>
      </w:pPr>
      <w:r>
        <w:rPr>
          <w:rFonts w:hint="eastAsia" w:ascii="仿宋" w:hAnsi="仿宋" w:eastAsia="仿宋"/>
          <w:sz w:val="24"/>
        </w:rPr>
        <w:t>13.3、利用Illumina Novaseq或者DNBSEQ T7进行二代测序，测序策略PE150，raw data不低于10G。</w:t>
      </w:r>
    </w:p>
    <w:p>
      <w:pPr>
        <w:spacing w:line="360" w:lineRule="auto"/>
        <w:contextualSpacing/>
        <w:rPr>
          <w:rFonts w:ascii="仿宋" w:hAnsi="仿宋" w:eastAsia="仿宋"/>
          <w:sz w:val="24"/>
        </w:rPr>
      </w:pPr>
      <w:r>
        <w:rPr>
          <w:rFonts w:hint="eastAsia" w:ascii="仿宋" w:hAnsi="仿宋" w:eastAsia="仿宋"/>
          <w:sz w:val="24"/>
        </w:rPr>
        <w:t>13.4、测序质量：Q20不低于90%，Q30不低于85%，单碱基错误率小于0.1%。</w:t>
      </w:r>
    </w:p>
    <w:p>
      <w:pPr>
        <w:spacing w:line="360" w:lineRule="auto"/>
        <w:contextualSpacing/>
        <w:rPr>
          <w:rFonts w:ascii="仿宋" w:hAnsi="仿宋" w:eastAsia="仿宋"/>
          <w:sz w:val="24"/>
        </w:rPr>
      </w:pPr>
      <w:r>
        <w:rPr>
          <w:rFonts w:hint="eastAsia" w:ascii="仿宋" w:hAnsi="仿宋" w:eastAsia="仿宋"/>
          <w:sz w:val="24"/>
        </w:rPr>
        <w:t>13.5、完成约定的生物信息学分析内容，主要包括：</w:t>
      </w:r>
    </w:p>
    <w:p>
      <w:pPr>
        <w:spacing w:line="360" w:lineRule="auto"/>
        <w:contextualSpacing/>
        <w:rPr>
          <w:rFonts w:ascii="仿宋" w:hAnsi="仿宋" w:eastAsia="仿宋"/>
          <w:sz w:val="24"/>
        </w:rPr>
      </w:pPr>
      <w:r>
        <w:rPr>
          <w:rFonts w:hint="eastAsia" w:ascii="仿宋" w:hAnsi="仿宋" w:eastAsia="仿宋"/>
          <w:sz w:val="24"/>
        </w:rPr>
        <w:t>1）对原始数据进行去除接头、污染序列及低质量 reads 的处理；</w:t>
      </w:r>
    </w:p>
    <w:p>
      <w:pPr>
        <w:spacing w:line="360" w:lineRule="auto"/>
        <w:contextualSpacing/>
        <w:rPr>
          <w:rFonts w:ascii="仿宋" w:hAnsi="仿宋" w:eastAsia="仿宋"/>
          <w:sz w:val="24"/>
        </w:rPr>
      </w:pPr>
      <w:r>
        <w:rPr>
          <w:rFonts w:hint="eastAsia" w:ascii="仿宋" w:hAnsi="仿宋" w:eastAsia="仿宋"/>
          <w:sz w:val="24"/>
        </w:rPr>
        <w:t>2）测序评估，数据质量评估；</w:t>
      </w:r>
    </w:p>
    <w:p>
      <w:pPr>
        <w:spacing w:line="360" w:lineRule="auto"/>
        <w:contextualSpacing/>
        <w:rPr>
          <w:rFonts w:ascii="仿宋" w:hAnsi="仿宋" w:eastAsia="仿宋"/>
          <w:sz w:val="24"/>
        </w:rPr>
      </w:pPr>
      <w:r>
        <w:rPr>
          <w:rFonts w:hint="eastAsia" w:ascii="仿宋" w:hAnsi="仿宋" w:eastAsia="仿宋"/>
          <w:sz w:val="24"/>
        </w:rPr>
        <w:t>3）参考序列比对分析；</w:t>
      </w:r>
    </w:p>
    <w:p>
      <w:pPr>
        <w:spacing w:line="360" w:lineRule="auto"/>
        <w:contextualSpacing/>
        <w:rPr>
          <w:rFonts w:ascii="仿宋" w:hAnsi="仿宋" w:eastAsia="仿宋"/>
          <w:sz w:val="24"/>
        </w:rPr>
      </w:pPr>
      <w:r>
        <w:rPr>
          <w:rFonts w:hint="eastAsia" w:ascii="仿宋" w:hAnsi="仿宋" w:eastAsia="仿宋"/>
          <w:sz w:val="24"/>
        </w:rPr>
        <w:t>4）基因表达水平分析；</w:t>
      </w:r>
    </w:p>
    <w:p>
      <w:pPr>
        <w:spacing w:line="360" w:lineRule="auto"/>
        <w:contextualSpacing/>
        <w:rPr>
          <w:rFonts w:ascii="仿宋" w:hAnsi="仿宋" w:eastAsia="仿宋"/>
          <w:sz w:val="24"/>
        </w:rPr>
      </w:pPr>
      <w:r>
        <w:rPr>
          <w:rFonts w:hint="eastAsia" w:ascii="仿宋" w:hAnsi="仿宋" w:eastAsia="仿宋"/>
          <w:sz w:val="24"/>
        </w:rPr>
        <w:t>5）样本间相关性分析；</w:t>
      </w:r>
    </w:p>
    <w:p>
      <w:pPr>
        <w:spacing w:line="360" w:lineRule="auto"/>
        <w:contextualSpacing/>
        <w:rPr>
          <w:rFonts w:ascii="仿宋" w:hAnsi="仿宋" w:eastAsia="仿宋"/>
          <w:sz w:val="24"/>
        </w:rPr>
      </w:pPr>
      <w:r>
        <w:rPr>
          <w:rFonts w:hint="eastAsia" w:ascii="仿宋" w:hAnsi="仿宋" w:eastAsia="仿宋"/>
          <w:sz w:val="24"/>
        </w:rPr>
        <w:t>6）基因差异表达分析；</w:t>
      </w:r>
    </w:p>
    <w:p>
      <w:pPr>
        <w:spacing w:line="360" w:lineRule="auto"/>
        <w:contextualSpacing/>
        <w:rPr>
          <w:rFonts w:ascii="仿宋" w:hAnsi="仿宋" w:eastAsia="仿宋"/>
          <w:sz w:val="24"/>
        </w:rPr>
      </w:pPr>
      <w:r>
        <w:rPr>
          <w:rFonts w:hint="eastAsia" w:ascii="仿宋" w:hAnsi="仿宋" w:eastAsia="仿宋"/>
          <w:sz w:val="24"/>
        </w:rPr>
        <w:t>7）差异基因的 GO 富集分析；</w:t>
      </w:r>
    </w:p>
    <w:p>
      <w:pPr>
        <w:spacing w:line="360" w:lineRule="auto"/>
        <w:contextualSpacing/>
        <w:rPr>
          <w:rFonts w:ascii="仿宋" w:hAnsi="仿宋" w:eastAsia="仿宋"/>
          <w:sz w:val="24"/>
        </w:rPr>
      </w:pPr>
      <w:r>
        <w:rPr>
          <w:rFonts w:hint="eastAsia" w:ascii="仿宋" w:hAnsi="仿宋" w:eastAsia="仿宋"/>
          <w:sz w:val="24"/>
        </w:rPr>
        <w:t>8）差异基因的 KEGG 富集分析；</w:t>
      </w:r>
    </w:p>
    <w:p>
      <w:pPr>
        <w:spacing w:line="360" w:lineRule="auto"/>
        <w:contextualSpacing/>
        <w:rPr>
          <w:rFonts w:ascii="仿宋" w:hAnsi="仿宋" w:eastAsia="仿宋"/>
          <w:sz w:val="24"/>
        </w:rPr>
      </w:pPr>
      <w:r>
        <w:rPr>
          <w:rFonts w:hint="eastAsia" w:ascii="仿宋" w:hAnsi="仿宋" w:eastAsia="仿宋"/>
          <w:sz w:val="24"/>
        </w:rPr>
        <w:t>9）GSEA 富集分析；</w:t>
      </w:r>
    </w:p>
    <w:p>
      <w:pPr>
        <w:spacing w:line="360" w:lineRule="auto"/>
        <w:contextualSpacing/>
        <w:rPr>
          <w:rFonts w:ascii="仿宋" w:hAnsi="仿宋" w:eastAsia="仿宋"/>
          <w:sz w:val="24"/>
        </w:rPr>
      </w:pPr>
      <w:r>
        <w:rPr>
          <w:rFonts w:hint="eastAsia" w:ascii="仿宋" w:hAnsi="仿宋" w:eastAsia="仿宋"/>
          <w:sz w:val="24"/>
        </w:rPr>
        <w:t>10）WGCNA 分析(≥15 个样本，默认以样本为单位进行分析)；</w:t>
      </w:r>
    </w:p>
    <w:p>
      <w:pPr>
        <w:spacing w:line="360" w:lineRule="auto"/>
        <w:contextualSpacing/>
        <w:rPr>
          <w:rFonts w:ascii="仿宋" w:hAnsi="仿宋" w:eastAsia="仿宋"/>
          <w:sz w:val="24"/>
        </w:rPr>
      </w:pPr>
      <w:r>
        <w:rPr>
          <w:rFonts w:hint="eastAsia" w:ascii="仿宋" w:hAnsi="仿宋" w:eastAsia="仿宋"/>
          <w:sz w:val="24"/>
        </w:rPr>
        <w:t>13.6、可进行但不限于以下高级生物信息学分析内容，主要包括：</w:t>
      </w:r>
    </w:p>
    <w:p>
      <w:pPr>
        <w:spacing w:line="360" w:lineRule="auto"/>
        <w:contextualSpacing/>
        <w:rPr>
          <w:rFonts w:ascii="仿宋" w:hAnsi="仿宋" w:eastAsia="仿宋"/>
          <w:sz w:val="24"/>
        </w:rPr>
      </w:pPr>
      <w:r>
        <w:rPr>
          <w:rFonts w:hint="eastAsia" w:ascii="仿宋" w:hAnsi="仿宋" w:eastAsia="仿宋"/>
          <w:sz w:val="24"/>
        </w:rPr>
        <w:t>1） 肿瘤微环境分析；</w:t>
      </w:r>
    </w:p>
    <w:p>
      <w:pPr>
        <w:spacing w:line="360" w:lineRule="auto"/>
        <w:contextualSpacing/>
        <w:rPr>
          <w:rFonts w:ascii="仿宋" w:hAnsi="仿宋" w:eastAsia="仿宋"/>
          <w:sz w:val="24"/>
        </w:rPr>
      </w:pPr>
      <w:r>
        <w:rPr>
          <w:rFonts w:hint="eastAsia" w:ascii="仿宋" w:hAnsi="仿宋" w:eastAsia="仿宋"/>
          <w:sz w:val="24"/>
        </w:rPr>
        <w:t>2）免疫表型评分；</w:t>
      </w:r>
    </w:p>
    <w:p>
      <w:pPr>
        <w:spacing w:line="360" w:lineRule="auto"/>
        <w:contextualSpacing/>
        <w:rPr>
          <w:rFonts w:ascii="仿宋" w:hAnsi="仿宋" w:eastAsia="仿宋"/>
          <w:sz w:val="24"/>
        </w:rPr>
      </w:pPr>
      <w:r>
        <w:rPr>
          <w:rFonts w:hint="eastAsia" w:ascii="仿宋" w:hAnsi="仿宋" w:eastAsia="仿宋"/>
          <w:sz w:val="24"/>
        </w:rPr>
        <w:t>3）融合基因分析；</w:t>
      </w:r>
    </w:p>
    <w:p>
      <w:pPr>
        <w:spacing w:line="360" w:lineRule="auto"/>
        <w:contextualSpacing/>
        <w:rPr>
          <w:rFonts w:ascii="仿宋" w:hAnsi="仿宋" w:eastAsia="仿宋"/>
          <w:sz w:val="24"/>
        </w:rPr>
      </w:pPr>
      <w:r>
        <w:rPr>
          <w:rFonts w:hint="eastAsia" w:ascii="仿宋" w:hAnsi="仿宋" w:eastAsia="仿宋"/>
          <w:sz w:val="24"/>
        </w:rPr>
        <w:t>4）肿瘤纯度与评分；</w:t>
      </w:r>
    </w:p>
    <w:p>
      <w:pPr>
        <w:spacing w:line="360" w:lineRule="auto"/>
        <w:contextualSpacing/>
        <w:rPr>
          <w:rFonts w:ascii="仿宋" w:hAnsi="仿宋" w:eastAsia="仿宋"/>
          <w:sz w:val="24"/>
        </w:rPr>
      </w:pPr>
      <w:r>
        <w:rPr>
          <w:rFonts w:hint="eastAsia" w:ascii="仿宋" w:hAnsi="仿宋" w:eastAsia="仿宋"/>
          <w:sz w:val="24"/>
        </w:rPr>
        <w:t>13.7、项目周期：每批样本的测序周期从建库成功开始，完成所有测序、数据处理工作及提供结题所需时间≤10个自然日。</w:t>
      </w:r>
    </w:p>
    <w:p>
      <w:pPr>
        <w:spacing w:line="360" w:lineRule="auto"/>
        <w:contextualSpacing/>
        <w:rPr>
          <w:rFonts w:ascii="仿宋" w:hAnsi="仿宋" w:eastAsia="仿宋"/>
          <w:sz w:val="24"/>
        </w:rPr>
      </w:pPr>
      <w:r>
        <w:rPr>
          <w:rFonts w:hint="eastAsia" w:ascii="仿宋" w:hAnsi="仿宋" w:eastAsia="仿宋"/>
          <w:sz w:val="24"/>
        </w:rPr>
        <w:t>14、全基因组DNA甲基化</w:t>
      </w:r>
    </w:p>
    <w:p>
      <w:pPr>
        <w:spacing w:line="360" w:lineRule="auto"/>
        <w:contextualSpacing/>
        <w:rPr>
          <w:rFonts w:ascii="仿宋" w:hAnsi="仿宋" w:eastAsia="仿宋"/>
          <w:sz w:val="24"/>
        </w:rPr>
      </w:pPr>
      <w:r>
        <w:rPr>
          <w:rFonts w:hint="eastAsia" w:ascii="仿宋" w:hAnsi="仿宋" w:eastAsia="仿宋"/>
          <w:sz w:val="24"/>
        </w:rPr>
        <w:t>14.1对120例样本采用化学法的DNA甲基化测序分析服务；</w:t>
      </w:r>
    </w:p>
    <w:p>
      <w:pPr>
        <w:spacing w:line="360" w:lineRule="auto"/>
        <w:contextualSpacing/>
        <w:rPr>
          <w:rFonts w:ascii="仿宋" w:hAnsi="仿宋" w:eastAsia="仿宋"/>
          <w:sz w:val="24"/>
        </w:rPr>
      </w:pPr>
      <w:r>
        <w:rPr>
          <w:rFonts w:hint="eastAsia" w:ascii="仿宋" w:hAnsi="仿宋" w:eastAsia="仿宋"/>
          <w:sz w:val="24"/>
        </w:rPr>
        <w:t>14.2 对样本进行DNA提取和质量检测，并且完成建库测序；</w:t>
      </w:r>
    </w:p>
    <w:p>
      <w:pPr>
        <w:spacing w:line="360" w:lineRule="auto"/>
        <w:contextualSpacing/>
        <w:rPr>
          <w:rFonts w:ascii="仿宋" w:hAnsi="仿宋" w:eastAsia="仿宋"/>
          <w:sz w:val="24"/>
        </w:rPr>
      </w:pPr>
      <w:r>
        <w:rPr>
          <w:rFonts w:hint="eastAsia" w:ascii="仿宋" w:hAnsi="仿宋" w:eastAsia="仿宋"/>
          <w:sz w:val="24"/>
        </w:rPr>
        <w:t>14.3 使用Illumina平台进行测序，数据量：不低于30G；</w:t>
      </w:r>
    </w:p>
    <w:p>
      <w:pPr>
        <w:spacing w:line="360" w:lineRule="auto"/>
        <w:contextualSpacing/>
        <w:rPr>
          <w:rFonts w:ascii="仿宋" w:hAnsi="仿宋" w:eastAsia="仿宋"/>
          <w:sz w:val="24"/>
        </w:rPr>
      </w:pPr>
      <w:r>
        <w:rPr>
          <w:rFonts w:hint="eastAsia" w:ascii="仿宋" w:hAnsi="仿宋" w:eastAsia="仿宋"/>
          <w:sz w:val="24"/>
        </w:rPr>
        <w:t>14.4 完成约定的生物信息学分析内容</w:t>
      </w:r>
    </w:p>
    <w:p>
      <w:pPr>
        <w:spacing w:line="360" w:lineRule="auto"/>
        <w:contextualSpacing/>
        <w:rPr>
          <w:rFonts w:ascii="仿宋" w:hAnsi="仿宋" w:eastAsia="仿宋"/>
          <w:sz w:val="24"/>
        </w:rPr>
      </w:pPr>
      <w:r>
        <w:rPr>
          <w:rFonts w:hint="eastAsia" w:ascii="仿宋" w:hAnsi="仿宋" w:eastAsia="仿宋"/>
          <w:sz w:val="24"/>
        </w:rPr>
        <w:t>1）数据质量评估：测序错误率分布检查；GC含量分布检查；测序数据质量汇总；</w:t>
      </w:r>
    </w:p>
    <w:p>
      <w:pPr>
        <w:spacing w:line="360" w:lineRule="auto"/>
        <w:contextualSpacing/>
        <w:rPr>
          <w:rFonts w:ascii="仿宋" w:hAnsi="仿宋" w:eastAsia="仿宋"/>
          <w:sz w:val="24"/>
        </w:rPr>
      </w:pPr>
      <w:r>
        <w:rPr>
          <w:rFonts w:hint="eastAsia" w:ascii="仿宋" w:hAnsi="仿宋" w:eastAsia="仿宋"/>
          <w:sz w:val="24"/>
        </w:rPr>
        <w:t>2）序列比对：比对覆盖率统计；C位点覆盖度统计；插入片段长度分布统计；比对统计汇总；</w:t>
      </w:r>
    </w:p>
    <w:p>
      <w:pPr>
        <w:spacing w:line="360" w:lineRule="auto"/>
        <w:contextualSpacing/>
        <w:rPr>
          <w:rFonts w:ascii="仿宋" w:hAnsi="仿宋" w:eastAsia="仿宋"/>
          <w:sz w:val="24"/>
        </w:rPr>
      </w:pPr>
      <w:r>
        <w:rPr>
          <w:rFonts w:hint="eastAsia" w:ascii="仿宋" w:hAnsi="仿宋" w:eastAsia="仿宋"/>
          <w:sz w:val="24"/>
        </w:rPr>
        <w:t>3）甲基化位点检测及分析：甲基化位点检测；甲基化序列类型比例统计；C位点甲基化水平分析；甲基化位点IGV可视化；</w:t>
      </w:r>
    </w:p>
    <w:p>
      <w:pPr>
        <w:spacing w:line="360" w:lineRule="auto"/>
        <w:contextualSpacing/>
        <w:rPr>
          <w:rFonts w:ascii="仿宋" w:hAnsi="仿宋" w:eastAsia="仿宋"/>
          <w:sz w:val="24"/>
        </w:rPr>
      </w:pPr>
      <w:r>
        <w:rPr>
          <w:rFonts w:hint="eastAsia" w:ascii="仿宋" w:hAnsi="仿宋" w:eastAsia="仿宋"/>
          <w:sz w:val="24"/>
        </w:rPr>
        <w:t>4）单样本甲基化分析：不同样本全基因组范围甲基化水平分布；单样本甲基化密度circos图；功能区域甲基化水平分布；基因上下游甲基化水平分布；</w:t>
      </w:r>
    </w:p>
    <w:p>
      <w:pPr>
        <w:spacing w:line="360" w:lineRule="auto"/>
        <w:contextualSpacing/>
        <w:rPr>
          <w:rFonts w:ascii="仿宋" w:hAnsi="仿宋" w:eastAsia="仿宋"/>
          <w:sz w:val="24"/>
        </w:rPr>
      </w:pPr>
      <w:r>
        <w:rPr>
          <w:rFonts w:hint="eastAsia" w:ascii="仿宋" w:hAnsi="仿宋" w:eastAsia="仿宋"/>
          <w:sz w:val="24"/>
        </w:rPr>
        <w:t>5）相关性和聚类热图分析：样本相关性和PCA分析；功能区域热图分析；</w:t>
      </w:r>
    </w:p>
    <w:p>
      <w:pPr>
        <w:spacing w:line="360" w:lineRule="auto"/>
        <w:contextualSpacing/>
        <w:rPr>
          <w:rFonts w:ascii="仿宋" w:hAnsi="仿宋" w:eastAsia="仿宋"/>
          <w:sz w:val="24"/>
        </w:rPr>
      </w:pPr>
      <w:r>
        <w:rPr>
          <w:rFonts w:hint="eastAsia" w:ascii="仿宋" w:hAnsi="仿宋" w:eastAsia="仿宋"/>
          <w:sz w:val="24"/>
        </w:rPr>
        <w:t>6）比较组合甲基化水平联合作图：甲基化水平circos图；功能区域甲基化水平分布比较作图；基因上下游甲基化水平分布比较作图；</w:t>
      </w:r>
    </w:p>
    <w:p>
      <w:pPr>
        <w:spacing w:line="360" w:lineRule="auto"/>
        <w:contextualSpacing/>
        <w:rPr>
          <w:rFonts w:ascii="仿宋" w:hAnsi="仿宋" w:eastAsia="仿宋"/>
          <w:sz w:val="24"/>
        </w:rPr>
      </w:pPr>
      <w:r>
        <w:rPr>
          <w:rFonts w:hint="eastAsia" w:ascii="仿宋" w:hAnsi="仿宋" w:eastAsia="仿宋"/>
          <w:sz w:val="24"/>
        </w:rPr>
        <w:t>7）差异甲基化分析：DMR分析与结果注释；DMR甲基化水平分布；DMR锚定区域分布；DMR显著性circos图；DMR相关基因GO富集分析；DMR相关基因KEGG富集分析；DMR锚定promoter基因GO富集分析；</w:t>
      </w:r>
    </w:p>
    <w:p>
      <w:pPr>
        <w:spacing w:line="360" w:lineRule="auto"/>
        <w:contextualSpacing/>
        <w:rPr>
          <w:rFonts w:ascii="仿宋" w:hAnsi="仿宋" w:eastAsia="仿宋"/>
          <w:sz w:val="24"/>
        </w:rPr>
      </w:pPr>
      <w:r>
        <w:rPr>
          <w:rFonts w:hint="eastAsia" w:ascii="仿宋" w:hAnsi="仿宋" w:eastAsia="仿宋"/>
          <w:sz w:val="24"/>
        </w:rPr>
        <w:t>14.5、项目周期：每批样本的测序周期从建库成功开始，完成所有测序、数据处理工作及提供结题所需时间≤30个自然日。</w:t>
      </w:r>
    </w:p>
    <w:p>
      <w:pPr>
        <w:spacing w:line="360" w:lineRule="auto"/>
        <w:contextualSpacing/>
        <w:rPr>
          <w:rFonts w:ascii="仿宋" w:hAnsi="仿宋" w:eastAsia="仿宋"/>
          <w:sz w:val="24"/>
        </w:rPr>
      </w:pPr>
      <w:r>
        <w:rPr>
          <w:rFonts w:hint="eastAsia" w:ascii="仿宋" w:hAnsi="仿宋" w:eastAsia="仿宋"/>
          <w:sz w:val="24"/>
        </w:rPr>
        <w:t>15. 多因子定制芯片检测</w:t>
      </w:r>
    </w:p>
    <w:p>
      <w:pPr>
        <w:spacing w:line="360" w:lineRule="auto"/>
        <w:contextualSpacing/>
        <w:rPr>
          <w:rFonts w:ascii="仿宋" w:hAnsi="仿宋" w:eastAsia="仿宋"/>
          <w:sz w:val="24"/>
        </w:rPr>
      </w:pPr>
      <w:r>
        <w:rPr>
          <w:rFonts w:hint="eastAsia" w:ascii="仿宋" w:hAnsi="仿宋" w:eastAsia="仿宋"/>
          <w:sz w:val="24"/>
        </w:rPr>
        <w:t>15.1、完成720例体液样本多因子检测和生物信息学分析。，可从350个因子中自由选择研究的指标。芯片根据目的指标定制。</w:t>
      </w:r>
    </w:p>
    <w:p>
      <w:pPr>
        <w:spacing w:line="360" w:lineRule="auto"/>
        <w:contextualSpacing/>
        <w:rPr>
          <w:rFonts w:ascii="仿宋" w:hAnsi="仿宋" w:eastAsia="仿宋"/>
          <w:sz w:val="24"/>
        </w:rPr>
      </w:pPr>
      <w:r>
        <w:rPr>
          <w:rFonts w:hint="eastAsia" w:ascii="仿宋" w:hAnsi="仿宋" w:eastAsia="仿宋"/>
          <w:sz w:val="24"/>
        </w:rPr>
        <w:t>15.2、检测平台：利用Luminex X-200型号仪器进行检测。</w:t>
      </w:r>
    </w:p>
    <w:p>
      <w:pPr>
        <w:spacing w:line="360" w:lineRule="auto"/>
        <w:contextualSpacing/>
        <w:rPr>
          <w:rFonts w:ascii="仿宋" w:hAnsi="仿宋" w:eastAsia="仿宋"/>
          <w:sz w:val="24"/>
        </w:rPr>
      </w:pPr>
      <w:r>
        <w:rPr>
          <w:rFonts w:hint="eastAsia" w:ascii="仿宋" w:hAnsi="仿宋" w:eastAsia="仿宋"/>
          <w:sz w:val="24"/>
        </w:rPr>
        <w:t>15.3、样本前处理。</w:t>
      </w:r>
    </w:p>
    <w:p>
      <w:pPr>
        <w:spacing w:line="360" w:lineRule="auto"/>
        <w:contextualSpacing/>
        <w:rPr>
          <w:rFonts w:ascii="仿宋" w:hAnsi="仿宋" w:eastAsia="仿宋"/>
          <w:sz w:val="24"/>
        </w:rPr>
      </w:pPr>
      <w:r>
        <w:rPr>
          <w:rFonts w:hint="eastAsia" w:ascii="仿宋" w:hAnsi="仿宋" w:eastAsia="仿宋"/>
          <w:sz w:val="24"/>
        </w:rPr>
        <w:t>15.4、luminex通过扫描报告分子上的荧光强度，然后利用标准品进行校正，得到每个蛋白的绝对定量值，提供蛋白定量结果。</w:t>
      </w:r>
    </w:p>
    <w:p>
      <w:pPr>
        <w:spacing w:line="360" w:lineRule="auto"/>
        <w:contextualSpacing/>
        <w:rPr>
          <w:rFonts w:ascii="仿宋" w:hAnsi="仿宋" w:eastAsia="仿宋"/>
          <w:sz w:val="24"/>
        </w:rPr>
      </w:pPr>
      <w:r>
        <w:rPr>
          <w:rFonts w:hint="eastAsia" w:ascii="仿宋" w:hAnsi="仿宋" w:eastAsia="仿宋"/>
          <w:sz w:val="24"/>
        </w:rPr>
        <w:t>15.5、数据重复性分析，细胞因子检测实验的稳定性通常利用变异系数（CV）和卡方检验（Chi）进行评价。</w:t>
      </w:r>
    </w:p>
    <w:p>
      <w:pPr>
        <w:spacing w:line="360" w:lineRule="auto"/>
        <w:contextualSpacing/>
        <w:rPr>
          <w:rFonts w:ascii="仿宋" w:hAnsi="仿宋" w:eastAsia="仿宋"/>
          <w:sz w:val="24"/>
        </w:rPr>
      </w:pPr>
      <w:r>
        <w:rPr>
          <w:rFonts w:hint="eastAsia" w:ascii="仿宋" w:hAnsi="仿宋" w:eastAsia="仿宋"/>
          <w:sz w:val="24"/>
        </w:rPr>
        <w:t>15.6、质控体系</w:t>
      </w:r>
    </w:p>
    <w:p>
      <w:pPr>
        <w:spacing w:line="360" w:lineRule="auto"/>
        <w:contextualSpacing/>
        <w:rPr>
          <w:rFonts w:ascii="仿宋" w:hAnsi="仿宋" w:eastAsia="仿宋"/>
          <w:sz w:val="24"/>
        </w:rPr>
      </w:pPr>
      <w:r>
        <w:rPr>
          <w:rFonts w:hint="eastAsia" w:ascii="仿宋" w:hAnsi="仿宋" w:eastAsia="仿宋"/>
          <w:sz w:val="24"/>
        </w:rPr>
        <w:t>1）按照实验之前的排布，分别每孔对应加入 25ul 的标准品和样本。样本孔加入 25ul 的检测稀释液，背景孔、标准品、质控品孔加入 25ul 的血清基质或蛋白溶液；</w:t>
      </w:r>
    </w:p>
    <w:p>
      <w:pPr>
        <w:spacing w:line="360" w:lineRule="auto"/>
        <w:contextualSpacing/>
        <w:rPr>
          <w:rFonts w:ascii="仿宋" w:hAnsi="仿宋" w:eastAsia="仿宋"/>
          <w:sz w:val="24"/>
        </w:rPr>
      </w:pPr>
      <w:r>
        <w:rPr>
          <w:rFonts w:hint="eastAsia" w:ascii="仿宋" w:hAnsi="仿宋" w:eastAsia="仿宋"/>
          <w:sz w:val="24"/>
        </w:rPr>
        <w:t>2）试剂盒最低稀释倍数：血清、血浆4倍；</w:t>
      </w:r>
    </w:p>
    <w:p>
      <w:pPr>
        <w:spacing w:line="360" w:lineRule="auto"/>
        <w:contextualSpacing/>
        <w:rPr>
          <w:rFonts w:ascii="仿宋" w:hAnsi="仿宋" w:eastAsia="仿宋"/>
          <w:sz w:val="24"/>
        </w:rPr>
      </w:pPr>
      <w:r>
        <w:rPr>
          <w:rFonts w:hint="eastAsia" w:ascii="仿宋" w:hAnsi="仿宋" w:eastAsia="仿宋"/>
          <w:sz w:val="24"/>
        </w:rPr>
        <w:t>3）正式实验可选择设置1条/2条标曲；</w:t>
      </w:r>
    </w:p>
    <w:p>
      <w:pPr>
        <w:spacing w:line="360" w:lineRule="auto"/>
        <w:contextualSpacing/>
        <w:rPr>
          <w:rFonts w:ascii="仿宋" w:hAnsi="仿宋" w:eastAsia="仿宋"/>
          <w:sz w:val="24"/>
        </w:rPr>
      </w:pPr>
      <w:r>
        <w:rPr>
          <w:rFonts w:hint="eastAsia" w:ascii="仿宋" w:hAnsi="仿宋" w:eastAsia="仿宋"/>
          <w:sz w:val="24"/>
        </w:rPr>
        <w:t>15.7、luminex数据分析</w:t>
      </w:r>
    </w:p>
    <w:p>
      <w:pPr>
        <w:spacing w:line="360" w:lineRule="auto"/>
        <w:contextualSpacing/>
        <w:rPr>
          <w:rFonts w:ascii="仿宋" w:hAnsi="仿宋" w:eastAsia="仿宋"/>
          <w:sz w:val="24"/>
        </w:rPr>
      </w:pPr>
      <w:r>
        <w:rPr>
          <w:rFonts w:hint="eastAsia" w:ascii="仿宋" w:hAnsi="仿宋" w:eastAsia="仿宋"/>
          <w:sz w:val="24"/>
        </w:rPr>
        <w:t>1）根据蛋白定量结果进行单变量统计分析和多元变量统计分析，筛选不同对比组合中出现的显著差异蛋白；</w:t>
      </w:r>
    </w:p>
    <w:p>
      <w:pPr>
        <w:spacing w:line="360" w:lineRule="auto"/>
        <w:contextualSpacing/>
        <w:rPr>
          <w:rFonts w:ascii="仿宋" w:hAnsi="仿宋" w:eastAsia="仿宋"/>
          <w:sz w:val="24"/>
        </w:rPr>
      </w:pPr>
      <w:r>
        <w:rPr>
          <w:rFonts w:hint="eastAsia" w:ascii="仿宋" w:hAnsi="仿宋" w:eastAsia="仿宋"/>
          <w:sz w:val="24"/>
        </w:rPr>
        <w:t>2）对各比对策略的差异蛋白进行差异蛋白箱线图分析；</w:t>
      </w:r>
    </w:p>
    <w:p>
      <w:pPr>
        <w:spacing w:line="360" w:lineRule="auto"/>
        <w:contextualSpacing/>
        <w:rPr>
          <w:rFonts w:ascii="仿宋" w:hAnsi="仿宋" w:eastAsia="仿宋"/>
          <w:sz w:val="24"/>
        </w:rPr>
      </w:pPr>
      <w:r>
        <w:rPr>
          <w:rFonts w:hint="eastAsia" w:ascii="仿宋" w:hAnsi="仿宋" w:eastAsia="仿宋"/>
          <w:sz w:val="24"/>
        </w:rPr>
        <w:t>15.8、交付内容</w:t>
      </w:r>
    </w:p>
    <w:p>
      <w:pPr>
        <w:spacing w:line="360" w:lineRule="auto"/>
        <w:contextualSpacing/>
        <w:rPr>
          <w:rFonts w:ascii="仿宋" w:hAnsi="仿宋" w:eastAsia="仿宋"/>
          <w:sz w:val="24"/>
        </w:rPr>
      </w:pPr>
      <w:r>
        <w:rPr>
          <w:rFonts w:hint="eastAsia" w:ascii="仿宋" w:hAnsi="仿宋" w:eastAsia="仿宋"/>
          <w:sz w:val="24"/>
        </w:rPr>
        <w:t>1）蛋白定量的结果文件；</w:t>
      </w:r>
    </w:p>
    <w:p>
      <w:pPr>
        <w:spacing w:line="360" w:lineRule="auto"/>
        <w:contextualSpacing/>
        <w:rPr>
          <w:rFonts w:ascii="仿宋" w:hAnsi="仿宋" w:eastAsia="仿宋"/>
          <w:sz w:val="24"/>
        </w:rPr>
      </w:pPr>
      <w:r>
        <w:rPr>
          <w:rFonts w:hint="eastAsia" w:ascii="仿宋" w:hAnsi="仿宋" w:eastAsia="仿宋"/>
          <w:sz w:val="24"/>
        </w:rPr>
        <w:t>2）完整的实验报告（包括实验记录、实验材料、实验设备、实验方法、实验过程、实验结果等）；</w:t>
      </w:r>
    </w:p>
    <w:p>
      <w:pPr>
        <w:spacing w:line="360" w:lineRule="auto"/>
        <w:contextualSpacing/>
        <w:rPr>
          <w:rFonts w:ascii="仿宋" w:hAnsi="仿宋" w:eastAsia="仿宋"/>
          <w:sz w:val="24"/>
        </w:rPr>
      </w:pPr>
      <w:r>
        <w:rPr>
          <w:rFonts w:hint="eastAsia" w:ascii="仿宋" w:hAnsi="仿宋" w:eastAsia="仿宋"/>
          <w:sz w:val="24"/>
        </w:rPr>
        <w:t>3）完整的数据分析报告；</w:t>
      </w:r>
    </w:p>
    <w:p>
      <w:pPr>
        <w:spacing w:line="360" w:lineRule="auto"/>
        <w:contextualSpacing/>
        <w:rPr>
          <w:rFonts w:ascii="仿宋" w:hAnsi="仿宋" w:eastAsia="仿宋"/>
          <w:sz w:val="24"/>
        </w:rPr>
      </w:pPr>
      <w:r>
        <w:rPr>
          <w:rFonts w:hint="eastAsia" w:ascii="仿宋" w:hAnsi="仿宋" w:eastAsia="仿宋"/>
          <w:sz w:val="24"/>
        </w:rPr>
        <w:t>15.9、项目周期：每批样本的检测周期从送样开始，完成所有检测、数据处理工作及提供结题所需时间≤14个自然日。</w:t>
      </w:r>
    </w:p>
    <w:p>
      <w:pPr>
        <w:spacing w:line="360" w:lineRule="auto"/>
        <w:contextualSpacing/>
        <w:rPr>
          <w:rFonts w:ascii="仿宋" w:hAnsi="仿宋" w:eastAsia="仿宋"/>
          <w:sz w:val="24"/>
        </w:rPr>
      </w:pPr>
      <w:r>
        <w:rPr>
          <w:rFonts w:hint="eastAsia" w:ascii="仿宋" w:hAnsi="仿宋" w:eastAsia="仿宋"/>
          <w:sz w:val="24"/>
        </w:rPr>
        <w:t>16、靶向脂质代谢组学分析</w:t>
      </w:r>
    </w:p>
    <w:p>
      <w:pPr>
        <w:spacing w:line="360" w:lineRule="auto"/>
        <w:contextualSpacing/>
        <w:rPr>
          <w:rFonts w:ascii="仿宋" w:hAnsi="仿宋" w:eastAsia="仿宋"/>
          <w:sz w:val="24"/>
        </w:rPr>
      </w:pPr>
      <w:r>
        <w:rPr>
          <w:rFonts w:hint="eastAsia" w:ascii="仿宋" w:hAnsi="仿宋" w:eastAsia="仿宋"/>
          <w:sz w:val="24"/>
        </w:rPr>
        <w:t>16.1、完成10例样本的脂质物质提取、检测和生物信息学分析。</w:t>
      </w:r>
    </w:p>
    <w:p>
      <w:pPr>
        <w:spacing w:line="360" w:lineRule="auto"/>
        <w:contextualSpacing/>
        <w:rPr>
          <w:rFonts w:ascii="仿宋" w:hAnsi="仿宋" w:eastAsia="仿宋"/>
          <w:sz w:val="24"/>
        </w:rPr>
      </w:pPr>
      <w:r>
        <w:rPr>
          <w:rFonts w:hint="eastAsia" w:ascii="仿宋" w:hAnsi="仿宋" w:eastAsia="仿宋"/>
          <w:sz w:val="24"/>
        </w:rPr>
        <w:t>16.2、检测平台使用Thermo Q Exactive</w:t>
      </w:r>
      <w:r>
        <w:rPr>
          <w:rFonts w:hint="eastAsia" w:ascii="宋体" w:hAnsi="宋体" w:cs="宋体"/>
          <w:sz w:val="24"/>
        </w:rPr>
        <w:t>™</w:t>
      </w:r>
      <w:r>
        <w:rPr>
          <w:rFonts w:hint="eastAsia" w:ascii="仿宋" w:hAnsi="仿宋" w:eastAsia="仿宋"/>
          <w:sz w:val="24"/>
        </w:rPr>
        <w:t xml:space="preserve"> HF、Agilent 6545 Q-TOF、AB SCIEX Triple TOF 6600等系列平台。</w:t>
      </w:r>
    </w:p>
    <w:p>
      <w:pPr>
        <w:spacing w:line="360" w:lineRule="auto"/>
        <w:contextualSpacing/>
        <w:rPr>
          <w:rFonts w:ascii="仿宋" w:hAnsi="仿宋" w:eastAsia="仿宋"/>
          <w:sz w:val="24"/>
        </w:rPr>
      </w:pPr>
      <w:r>
        <w:rPr>
          <w:rFonts w:hint="eastAsia" w:ascii="仿宋" w:hAnsi="仿宋" w:eastAsia="仿宋"/>
          <w:sz w:val="24"/>
        </w:rPr>
        <w:t>16.3、生物信息分析内容</w:t>
      </w:r>
    </w:p>
    <w:p>
      <w:pPr>
        <w:spacing w:line="360" w:lineRule="auto"/>
        <w:contextualSpacing/>
        <w:rPr>
          <w:rFonts w:ascii="仿宋" w:hAnsi="仿宋" w:eastAsia="仿宋"/>
          <w:sz w:val="24"/>
        </w:rPr>
      </w:pPr>
      <w:r>
        <w:rPr>
          <w:rFonts w:hint="eastAsia" w:ascii="仿宋" w:hAnsi="仿宋" w:eastAsia="仿宋"/>
          <w:sz w:val="24"/>
        </w:rPr>
        <w:t>1）脂质化合物定性及定量结果；</w:t>
      </w:r>
    </w:p>
    <w:p>
      <w:pPr>
        <w:spacing w:line="360" w:lineRule="auto"/>
        <w:contextualSpacing/>
        <w:rPr>
          <w:rFonts w:ascii="仿宋" w:hAnsi="仿宋" w:eastAsia="仿宋"/>
          <w:sz w:val="24"/>
        </w:rPr>
      </w:pPr>
      <w:r>
        <w:rPr>
          <w:rFonts w:hint="eastAsia" w:ascii="仿宋" w:hAnsi="仿宋" w:eastAsia="仿宋"/>
          <w:sz w:val="24"/>
        </w:rPr>
        <w:t>2）数据质控；</w:t>
      </w:r>
    </w:p>
    <w:p>
      <w:pPr>
        <w:spacing w:line="360" w:lineRule="auto"/>
        <w:contextualSpacing/>
        <w:rPr>
          <w:rFonts w:ascii="仿宋" w:hAnsi="仿宋" w:eastAsia="仿宋"/>
          <w:sz w:val="24"/>
        </w:rPr>
      </w:pPr>
      <w:r>
        <w:rPr>
          <w:rFonts w:hint="eastAsia" w:ascii="仿宋" w:hAnsi="仿宋" w:eastAsia="仿宋"/>
          <w:sz w:val="24"/>
        </w:rPr>
        <w:t>3）代谢物分类及通路注释；</w:t>
      </w:r>
    </w:p>
    <w:p>
      <w:pPr>
        <w:spacing w:line="360" w:lineRule="auto"/>
        <w:contextualSpacing/>
        <w:rPr>
          <w:rFonts w:ascii="仿宋" w:hAnsi="仿宋" w:eastAsia="仿宋"/>
          <w:sz w:val="24"/>
        </w:rPr>
      </w:pPr>
      <w:r>
        <w:rPr>
          <w:rFonts w:hint="eastAsia" w:ascii="仿宋" w:hAnsi="仿宋" w:eastAsia="仿宋"/>
          <w:sz w:val="24"/>
        </w:rPr>
        <w:t>4）差异脂质物质筛选：PCA 分析，PLS-DA 分析，差异脂质化合物火柴杆图，差异脂质化合物火山图；</w:t>
      </w:r>
    </w:p>
    <w:p>
      <w:pPr>
        <w:spacing w:line="360" w:lineRule="auto"/>
        <w:contextualSpacing/>
        <w:rPr>
          <w:rFonts w:ascii="仿宋" w:hAnsi="仿宋" w:eastAsia="仿宋"/>
          <w:sz w:val="24"/>
        </w:rPr>
      </w:pPr>
      <w:r>
        <w:rPr>
          <w:rFonts w:hint="eastAsia" w:ascii="仿宋" w:hAnsi="仿宋" w:eastAsia="仿宋"/>
          <w:sz w:val="24"/>
        </w:rPr>
        <w:t>5）差异脂质分析；</w:t>
      </w:r>
    </w:p>
    <w:p>
      <w:pPr>
        <w:spacing w:line="360" w:lineRule="auto"/>
        <w:contextualSpacing/>
        <w:rPr>
          <w:rFonts w:ascii="仿宋" w:hAnsi="仿宋" w:eastAsia="仿宋"/>
          <w:sz w:val="24"/>
        </w:rPr>
      </w:pPr>
      <w:r>
        <w:rPr>
          <w:rFonts w:hint="eastAsia" w:ascii="仿宋" w:hAnsi="仿宋" w:eastAsia="仿宋"/>
          <w:sz w:val="24"/>
        </w:rPr>
        <w:t>6） KEGG 富集分析：KEGG 分类分析，KEGG 气泡图，KEGG 通路图，KEGG 调控网络图；</w:t>
      </w:r>
    </w:p>
    <w:p>
      <w:pPr>
        <w:spacing w:line="360" w:lineRule="auto"/>
        <w:contextualSpacing/>
        <w:rPr>
          <w:rFonts w:ascii="仿宋" w:hAnsi="仿宋" w:eastAsia="仿宋"/>
          <w:sz w:val="24"/>
        </w:rPr>
      </w:pPr>
      <w:r>
        <w:rPr>
          <w:rFonts w:hint="eastAsia" w:ascii="仿宋" w:hAnsi="仿宋" w:eastAsia="仿宋"/>
          <w:sz w:val="24"/>
        </w:rPr>
        <w:t>7） GSEA 分析；</w:t>
      </w:r>
    </w:p>
    <w:p>
      <w:pPr>
        <w:spacing w:line="360" w:lineRule="auto"/>
        <w:contextualSpacing/>
        <w:rPr>
          <w:rFonts w:ascii="仿宋" w:hAnsi="仿宋" w:eastAsia="仿宋"/>
          <w:sz w:val="24"/>
        </w:rPr>
      </w:pPr>
      <w:r>
        <w:rPr>
          <w:rFonts w:hint="eastAsia" w:ascii="仿宋" w:hAnsi="仿宋" w:eastAsia="仿宋"/>
          <w:sz w:val="24"/>
        </w:rPr>
        <w:t>8）差异脂质化合物 ROC 曲线分析；</w:t>
      </w:r>
    </w:p>
    <w:p>
      <w:pPr>
        <w:spacing w:line="360" w:lineRule="auto"/>
        <w:contextualSpacing/>
        <w:rPr>
          <w:rFonts w:ascii="仿宋" w:hAnsi="仿宋" w:eastAsia="仿宋"/>
          <w:sz w:val="24"/>
        </w:rPr>
      </w:pPr>
      <w:r>
        <w:rPr>
          <w:rFonts w:hint="eastAsia" w:ascii="仿宋" w:hAnsi="仿宋" w:eastAsia="仿宋"/>
          <w:sz w:val="24"/>
        </w:rPr>
        <w:t>16.4、项目周期：每批样本的检测周期从送样开始，完成所有检测、数据处理工作及提供结题所需时间≤20个自然日。</w:t>
      </w:r>
    </w:p>
    <w:p>
      <w:pPr>
        <w:spacing w:line="360" w:lineRule="auto"/>
        <w:contextualSpacing/>
        <w:rPr>
          <w:rFonts w:ascii="仿宋" w:hAnsi="仿宋" w:eastAsia="仿宋"/>
          <w:sz w:val="24"/>
        </w:rPr>
      </w:pPr>
      <w:r>
        <w:rPr>
          <w:rFonts w:hint="eastAsia" w:ascii="仿宋" w:hAnsi="仿宋" w:eastAsia="仿宋"/>
          <w:sz w:val="24"/>
        </w:rPr>
        <w:t>17、空间转录组</w:t>
      </w:r>
    </w:p>
    <w:p>
      <w:pPr>
        <w:spacing w:line="360" w:lineRule="auto"/>
        <w:contextualSpacing/>
        <w:rPr>
          <w:rFonts w:ascii="仿宋" w:hAnsi="仿宋" w:eastAsia="仿宋"/>
          <w:sz w:val="24"/>
        </w:rPr>
      </w:pPr>
      <w:r>
        <w:rPr>
          <w:rFonts w:hint="eastAsia" w:ascii="仿宋" w:hAnsi="仿宋" w:eastAsia="仿宋"/>
          <w:sz w:val="24"/>
        </w:rPr>
        <w:t>17.1、完成2例样本的Hd空间转录组测序和分析服务。实验流程包括：样本包埋，切片，H&amp;E染色拍照，RNA抽提及RNA完整性检测，固定、H&amp;E染色拍照、通透化处理、cDNA合成、cDNA收集到试管内进行PCR扩增和建库。</w:t>
      </w:r>
    </w:p>
    <w:p>
      <w:pPr>
        <w:spacing w:line="360" w:lineRule="auto"/>
        <w:contextualSpacing/>
        <w:rPr>
          <w:rFonts w:ascii="仿宋" w:hAnsi="仿宋" w:eastAsia="仿宋"/>
          <w:sz w:val="24"/>
        </w:rPr>
      </w:pPr>
      <w:r>
        <w:rPr>
          <w:rFonts w:hint="eastAsia" w:ascii="仿宋" w:hAnsi="仿宋" w:eastAsia="仿宋"/>
          <w:sz w:val="24"/>
        </w:rPr>
        <w:t>17.2、空间平台：10X Visium；测序平台：Novaseq测序平台；测序策略：PE150，数据量200G。</w:t>
      </w:r>
    </w:p>
    <w:p>
      <w:pPr>
        <w:spacing w:line="360" w:lineRule="auto"/>
        <w:contextualSpacing/>
        <w:rPr>
          <w:rFonts w:ascii="仿宋" w:hAnsi="仿宋" w:eastAsia="仿宋"/>
          <w:sz w:val="24"/>
        </w:rPr>
      </w:pPr>
      <w:r>
        <w:rPr>
          <w:rFonts w:hint="eastAsia" w:ascii="仿宋" w:hAnsi="仿宋" w:eastAsia="仿宋"/>
          <w:sz w:val="24"/>
        </w:rPr>
        <w:t>17.3、完成约定的生物信息学分析内容，主要包括：</w:t>
      </w:r>
    </w:p>
    <w:p>
      <w:pPr>
        <w:spacing w:line="360" w:lineRule="auto"/>
        <w:contextualSpacing/>
        <w:rPr>
          <w:rFonts w:ascii="仿宋" w:hAnsi="仿宋" w:eastAsia="仿宋"/>
          <w:sz w:val="24"/>
        </w:rPr>
      </w:pPr>
      <w:r>
        <w:rPr>
          <w:rFonts w:hint="eastAsia" w:ascii="仿宋" w:hAnsi="仿宋" w:eastAsia="仿宋"/>
          <w:sz w:val="24"/>
        </w:rPr>
        <w:t>1）测序数据质控；</w:t>
      </w:r>
    </w:p>
    <w:p>
      <w:pPr>
        <w:spacing w:line="360" w:lineRule="auto"/>
        <w:contextualSpacing/>
        <w:rPr>
          <w:rFonts w:ascii="仿宋" w:hAnsi="仿宋" w:eastAsia="仿宋"/>
          <w:sz w:val="24"/>
        </w:rPr>
      </w:pPr>
      <w:r>
        <w:rPr>
          <w:rFonts w:hint="eastAsia" w:ascii="仿宋" w:hAnsi="仿宋" w:eastAsia="仿宋"/>
          <w:sz w:val="24"/>
        </w:rPr>
        <w:t>2）数据比对与表达定量；</w:t>
      </w:r>
    </w:p>
    <w:p>
      <w:pPr>
        <w:spacing w:line="360" w:lineRule="auto"/>
        <w:contextualSpacing/>
        <w:rPr>
          <w:rFonts w:ascii="仿宋" w:hAnsi="仿宋" w:eastAsia="仿宋"/>
          <w:sz w:val="24"/>
        </w:rPr>
      </w:pPr>
      <w:r>
        <w:rPr>
          <w:rFonts w:hint="eastAsia" w:ascii="仿宋" w:hAnsi="仿宋" w:eastAsia="仿宋"/>
          <w:sz w:val="24"/>
        </w:rPr>
        <w:t>3）Space Ranger分析：Graphclust聚类分析，kmeans聚类分析；</w:t>
      </w:r>
    </w:p>
    <w:p>
      <w:pPr>
        <w:spacing w:line="360" w:lineRule="auto"/>
        <w:contextualSpacing/>
        <w:rPr>
          <w:rFonts w:ascii="仿宋" w:hAnsi="仿宋" w:eastAsia="仿宋"/>
          <w:sz w:val="24"/>
        </w:rPr>
      </w:pPr>
      <w:r>
        <w:rPr>
          <w:rFonts w:hint="eastAsia" w:ascii="仿宋" w:hAnsi="仿宋" w:eastAsia="仿宋"/>
          <w:sz w:val="24"/>
        </w:rPr>
        <w:t>4）Seurat分析：数据过滤，筛选高变异基因，PCA分析，聚类和降维分析，空间特异表达基因分析；</w:t>
      </w:r>
    </w:p>
    <w:p>
      <w:pPr>
        <w:spacing w:line="360" w:lineRule="auto"/>
        <w:contextualSpacing/>
        <w:rPr>
          <w:rFonts w:ascii="仿宋" w:hAnsi="仿宋" w:eastAsia="仿宋"/>
          <w:sz w:val="24"/>
        </w:rPr>
      </w:pPr>
      <w:r>
        <w:rPr>
          <w:rFonts w:hint="eastAsia" w:ascii="仿宋" w:hAnsi="仿宋" w:eastAsia="仿宋"/>
          <w:sz w:val="24"/>
        </w:rPr>
        <w:t>5）差异基因表达分析：差异基因聚类热图展示，差异基因空间分布展示，差异基因Violin图形展示，差异基因tSNE/UMAP降维展示；</w:t>
      </w:r>
    </w:p>
    <w:p>
      <w:pPr>
        <w:spacing w:line="360" w:lineRule="auto"/>
        <w:contextualSpacing/>
        <w:rPr>
          <w:rFonts w:ascii="仿宋" w:hAnsi="仿宋" w:eastAsia="仿宋"/>
          <w:sz w:val="24"/>
        </w:rPr>
      </w:pPr>
      <w:r>
        <w:rPr>
          <w:rFonts w:hint="eastAsia" w:ascii="仿宋" w:hAnsi="仿宋" w:eastAsia="仿宋"/>
          <w:sz w:val="24"/>
        </w:rPr>
        <w:t>6）功能富集分析，GO功能富集， KEGG通路富集， Reactome（仅限人和小鼠）通路富集；</w:t>
      </w:r>
    </w:p>
    <w:p>
      <w:pPr>
        <w:spacing w:line="360" w:lineRule="auto"/>
        <w:contextualSpacing/>
        <w:rPr>
          <w:rFonts w:ascii="仿宋" w:hAnsi="仿宋" w:eastAsia="仿宋"/>
          <w:sz w:val="24"/>
        </w:rPr>
      </w:pPr>
      <w:r>
        <w:rPr>
          <w:rFonts w:hint="eastAsia" w:ascii="仿宋" w:hAnsi="仿宋" w:eastAsia="仿宋"/>
          <w:sz w:val="24"/>
        </w:rPr>
        <w:t>7）细胞定义；</w:t>
      </w:r>
    </w:p>
    <w:p>
      <w:pPr>
        <w:spacing w:line="360" w:lineRule="auto"/>
        <w:contextualSpacing/>
        <w:rPr>
          <w:rFonts w:ascii="仿宋" w:hAnsi="仿宋" w:eastAsia="仿宋"/>
          <w:sz w:val="24"/>
        </w:rPr>
      </w:pPr>
      <w:r>
        <w:rPr>
          <w:rFonts w:hint="eastAsia" w:ascii="仿宋" w:hAnsi="仿宋" w:eastAsia="仿宋"/>
          <w:sz w:val="24"/>
        </w:rPr>
        <w:t xml:space="preserve">8）轨迹分析：monocle2轨迹分析，sklearn轨迹分析； </w:t>
      </w:r>
    </w:p>
    <w:p>
      <w:pPr>
        <w:spacing w:line="360" w:lineRule="auto"/>
        <w:contextualSpacing/>
        <w:rPr>
          <w:rFonts w:ascii="仿宋" w:hAnsi="仿宋" w:eastAsia="仿宋"/>
          <w:sz w:val="24"/>
        </w:rPr>
      </w:pPr>
      <w:r>
        <w:rPr>
          <w:rFonts w:hint="eastAsia" w:ascii="仿宋" w:hAnsi="仿宋" w:eastAsia="仿宋"/>
          <w:sz w:val="24"/>
        </w:rPr>
        <w:t xml:space="preserve">9）细胞通讯分析：cellphonedb细胞通讯分析，stlearn细胞通讯分析（仅限人和小鼠）； </w:t>
      </w:r>
    </w:p>
    <w:p>
      <w:pPr>
        <w:spacing w:line="360" w:lineRule="auto"/>
        <w:contextualSpacing/>
        <w:rPr>
          <w:rFonts w:ascii="仿宋" w:hAnsi="仿宋" w:eastAsia="仿宋"/>
          <w:sz w:val="24"/>
        </w:rPr>
      </w:pPr>
      <w:r>
        <w:rPr>
          <w:rFonts w:hint="eastAsia" w:ascii="仿宋" w:hAnsi="仿宋" w:eastAsia="仿宋"/>
          <w:sz w:val="24"/>
        </w:rPr>
        <w:t>17.4、项目周期：自样本检测全部合格，项目启动之日起25个自然日之内必须完成全部检测项目。</w:t>
      </w:r>
    </w:p>
    <w:p>
      <w:pPr>
        <w:spacing w:line="360" w:lineRule="auto"/>
        <w:contextualSpacing/>
        <w:rPr>
          <w:rFonts w:ascii="仿宋" w:hAnsi="仿宋" w:eastAsia="仿宋"/>
          <w:sz w:val="24"/>
        </w:rPr>
      </w:pPr>
      <w:r>
        <w:rPr>
          <w:rFonts w:hint="eastAsia" w:ascii="仿宋" w:hAnsi="仿宋" w:eastAsia="仿宋"/>
          <w:sz w:val="24"/>
        </w:rPr>
        <w:t>17.5、投标人空间平台要求：拥有10X Visium（HD）系列，华大Stereo-seq，10X Xenium等先进空间平台。</w:t>
      </w:r>
    </w:p>
    <w:p>
      <w:pPr>
        <w:spacing w:line="360" w:lineRule="auto"/>
        <w:contextualSpacing/>
        <w:rPr>
          <w:rFonts w:ascii="仿宋" w:hAnsi="仿宋" w:eastAsia="仿宋"/>
          <w:sz w:val="24"/>
        </w:rPr>
      </w:pPr>
      <w:r>
        <w:rPr>
          <w:rFonts w:hint="eastAsia" w:ascii="仿宋" w:hAnsi="仿宋" w:eastAsia="仿宋"/>
          <w:b/>
          <w:bCs/>
          <w:sz w:val="24"/>
        </w:rPr>
        <w:t>（三）其他相关要求</w:t>
      </w:r>
    </w:p>
    <w:p>
      <w:pPr>
        <w:spacing w:line="360" w:lineRule="auto"/>
        <w:contextualSpacing/>
        <w:rPr>
          <w:rFonts w:ascii="仿宋" w:hAnsi="仿宋" w:eastAsia="仿宋"/>
          <w:b/>
          <w:sz w:val="24"/>
        </w:rPr>
      </w:pPr>
      <w:r>
        <w:rPr>
          <w:rFonts w:hint="eastAsia" w:ascii="仿宋" w:hAnsi="仿宋" w:eastAsia="仿宋"/>
          <w:sz w:val="24"/>
        </w:rPr>
        <w:t>1、</w:t>
      </w:r>
      <w:r>
        <w:rPr>
          <w:rFonts w:hint="eastAsia" w:ascii="仿宋" w:hAnsi="仿宋" w:eastAsia="仿宋"/>
          <w:b/>
          <w:sz w:val="24"/>
        </w:rPr>
        <w:t>团队人员要求</w:t>
      </w:r>
    </w:p>
    <w:p>
      <w:pPr>
        <w:spacing w:line="360" w:lineRule="auto"/>
        <w:contextualSpacing/>
        <w:rPr>
          <w:rFonts w:ascii="仿宋" w:hAnsi="仿宋" w:eastAsia="仿宋"/>
          <w:sz w:val="24"/>
        </w:rPr>
      </w:pPr>
      <w:r>
        <w:rPr>
          <w:rFonts w:ascii="仿宋" w:hAnsi="仿宋" w:eastAsia="仿宋"/>
          <w:sz w:val="24"/>
        </w:rPr>
        <w:t>1.1</w:t>
      </w:r>
      <w:r>
        <w:rPr>
          <w:rFonts w:hint="eastAsia" w:ascii="仿宋" w:hAnsi="仿宋" w:eastAsia="仿宋"/>
          <w:sz w:val="24"/>
        </w:rPr>
        <w:t>、项目管理人员1人，需具有博士学历或高级技术职务职称，5年以上同类项目工作经验，</w:t>
      </w:r>
      <w:r>
        <w:rPr>
          <w:rFonts w:hint="eastAsia" w:ascii="仿宋" w:hAnsi="仿宋" w:eastAsia="仿宋"/>
          <w:bCs/>
          <w:sz w:val="24"/>
        </w:rPr>
        <w:t>负责项目跟进及整体项目质量及进度把控，以提供管理人员简介、学历学位或职称证书为准；</w:t>
      </w:r>
    </w:p>
    <w:p>
      <w:pPr>
        <w:spacing w:line="360" w:lineRule="auto"/>
        <w:contextualSpacing/>
        <w:rPr>
          <w:rStyle w:val="17"/>
          <w:rFonts w:ascii="仿宋" w:hAnsi="仿宋" w:eastAsia="仿宋"/>
          <w:sz w:val="24"/>
          <w:szCs w:val="24"/>
        </w:rPr>
      </w:pPr>
      <w:r>
        <w:rPr>
          <w:rFonts w:ascii="仿宋" w:hAnsi="仿宋" w:eastAsia="仿宋"/>
          <w:sz w:val="24"/>
        </w:rPr>
        <w:t>1.2</w:t>
      </w:r>
      <w:r>
        <w:rPr>
          <w:rFonts w:hint="eastAsia" w:ascii="仿宋" w:hAnsi="仿宋" w:eastAsia="仿宋"/>
          <w:sz w:val="24"/>
        </w:rPr>
        <w:t>、项目实施团队人员至少8人，需具有硕士及以上学历，有5年以上的项目经验，针对本项目分工明确合理，</w:t>
      </w:r>
      <w:r>
        <w:rPr>
          <w:rFonts w:hint="eastAsia" w:ascii="仿宋" w:hAnsi="仿宋" w:eastAsia="仿宋"/>
          <w:bCs/>
          <w:sz w:val="24"/>
        </w:rPr>
        <w:t>以提供包括详细成员职责的项目人员名单，项目人员学历学位或相关证书为准。</w:t>
      </w:r>
    </w:p>
    <w:p>
      <w:pPr>
        <w:spacing w:line="360" w:lineRule="auto"/>
        <w:contextualSpacing/>
        <w:rPr>
          <w:rFonts w:ascii="仿宋" w:hAnsi="仿宋" w:eastAsia="仿宋"/>
          <w:sz w:val="24"/>
        </w:rPr>
      </w:pPr>
      <w:r>
        <w:rPr>
          <w:rStyle w:val="17"/>
          <w:rFonts w:ascii="仿宋" w:hAnsi="仿宋" w:eastAsia="仿宋"/>
          <w:sz w:val="24"/>
          <w:szCs w:val="24"/>
        </w:rPr>
        <w:t>1.3</w:t>
      </w:r>
      <w:r>
        <w:rPr>
          <w:rStyle w:val="17"/>
          <w:rFonts w:hint="eastAsia" w:ascii="仿宋" w:hAnsi="仿宋" w:eastAsia="仿宋"/>
          <w:sz w:val="24"/>
          <w:szCs w:val="24"/>
        </w:rPr>
        <w:t>、项目专门联系人员</w:t>
      </w:r>
      <w:r>
        <w:rPr>
          <w:rFonts w:hint="eastAsia" w:ascii="仿宋" w:hAnsi="仿宋" w:eastAsia="仿宋"/>
          <w:sz w:val="24"/>
        </w:rPr>
        <w:t>1</w:t>
      </w:r>
      <w:r>
        <w:rPr>
          <w:rStyle w:val="17"/>
          <w:rFonts w:hint="eastAsia" w:ascii="仿宋" w:hAnsi="仿宋" w:eastAsia="仿宋"/>
          <w:sz w:val="24"/>
          <w:szCs w:val="24"/>
        </w:rPr>
        <w:t>人，至少</w:t>
      </w:r>
      <w:r>
        <w:rPr>
          <w:rFonts w:hint="eastAsia" w:ascii="仿宋" w:hAnsi="仿宋" w:eastAsia="仿宋"/>
          <w:sz w:val="24"/>
        </w:rPr>
        <w:t>1</w:t>
      </w:r>
      <w:r>
        <w:rPr>
          <w:rStyle w:val="17"/>
          <w:rFonts w:hint="eastAsia" w:ascii="仿宋" w:hAnsi="仿宋" w:eastAsia="仿宋"/>
          <w:sz w:val="24"/>
          <w:szCs w:val="24"/>
        </w:rPr>
        <w:t>人为技术人员，具备同类项目经验，定期向采购方汇报项目进度情况，提供联系人员电话及邮箱。</w:t>
      </w:r>
    </w:p>
    <w:p>
      <w:pPr>
        <w:spacing w:line="360" w:lineRule="auto"/>
        <w:contextualSpacing/>
        <w:rPr>
          <w:rFonts w:ascii="仿宋" w:hAnsi="仿宋" w:eastAsia="仿宋"/>
          <w:sz w:val="24"/>
        </w:rPr>
      </w:pPr>
      <w:r>
        <w:rPr>
          <w:rFonts w:hint="eastAsia" w:ascii="仿宋" w:hAnsi="仿宋" w:eastAsia="仿宋"/>
          <w:sz w:val="24"/>
        </w:rPr>
        <w:t>2、售后技术支持服务</w:t>
      </w:r>
    </w:p>
    <w:p>
      <w:pPr>
        <w:spacing w:line="360" w:lineRule="auto"/>
        <w:ind w:firstLine="480" w:firstLineChars="200"/>
        <w:contextualSpacing/>
        <w:rPr>
          <w:rFonts w:ascii="仿宋" w:hAnsi="仿宋" w:eastAsia="仿宋"/>
          <w:sz w:val="24"/>
        </w:rPr>
      </w:pPr>
      <w:r>
        <w:rPr>
          <w:rFonts w:hint="eastAsia" w:ascii="仿宋" w:hAnsi="仿宋" w:eastAsia="仿宋"/>
          <w:sz w:val="24"/>
        </w:rPr>
        <w:t>投标人需具有充足的项目经验和专业技术人员，有能力保证本项目的顺利开展，提供7×24小时免费电话咨询服务，当样品选择、数据解读等方面出现存疑，在收到相关邮件或电话后于24小时以内予以回应，遇到复杂的问题，3天内提出解决方案（特殊情况和不可抗拒因素除外）。</w:t>
      </w:r>
    </w:p>
    <w:p>
      <w:pPr>
        <w:spacing w:line="360" w:lineRule="auto"/>
        <w:contextualSpacing/>
        <w:rPr>
          <w:rFonts w:ascii="仿宋" w:hAnsi="仿宋" w:eastAsia="仿宋"/>
          <w:sz w:val="24"/>
        </w:rPr>
      </w:pPr>
      <w:r>
        <w:rPr>
          <w:rFonts w:hint="eastAsia" w:ascii="仿宋" w:hAnsi="仿宋" w:eastAsia="仿宋"/>
          <w:sz w:val="24"/>
        </w:rPr>
        <w:t>3、投标人需具备高性能计算平台。</w:t>
      </w:r>
    </w:p>
    <w:p>
      <w:pPr>
        <w:spacing w:line="360" w:lineRule="auto"/>
        <w:contextualSpacing/>
        <w:rPr>
          <w:rFonts w:ascii="仿宋" w:hAnsi="仿宋" w:eastAsia="仿宋"/>
          <w:sz w:val="24"/>
        </w:rPr>
      </w:pPr>
      <w:r>
        <w:rPr>
          <w:rFonts w:hint="eastAsia" w:ascii="仿宋" w:hAnsi="仿宋" w:eastAsia="仿宋"/>
          <w:sz w:val="24"/>
        </w:rPr>
        <w:t>4、投标人需拥有智能化交付系统，并搭载自动化样本库，以保证项目在规定或加急周期内得到响应。</w:t>
      </w:r>
    </w:p>
    <w:p>
      <w:pPr>
        <w:spacing w:line="360" w:lineRule="auto"/>
        <w:contextualSpacing/>
        <w:rPr>
          <w:rFonts w:ascii="仿宋" w:hAnsi="仿宋" w:eastAsia="仿宋"/>
          <w:sz w:val="24"/>
        </w:rPr>
      </w:pPr>
      <w:r>
        <w:rPr>
          <w:rFonts w:hint="eastAsia" w:ascii="仿宋" w:hAnsi="仿宋" w:eastAsia="仿宋"/>
          <w:sz w:val="24"/>
        </w:rPr>
        <w:t>5、数据储存时间：≥12个自然月，数据储存期间提供数据重新取回的服务，数据存储服务到期后，投标人应删除所有产生数据。</w:t>
      </w:r>
    </w:p>
    <w:p>
      <w:pPr>
        <w:spacing w:line="360" w:lineRule="auto"/>
        <w:contextualSpacing/>
        <w:rPr>
          <w:rFonts w:ascii="仿宋" w:hAnsi="仿宋" w:eastAsia="仿宋"/>
          <w:sz w:val="24"/>
        </w:rPr>
      </w:pPr>
      <w:r>
        <w:rPr>
          <w:rFonts w:hint="eastAsia" w:ascii="仿宋" w:hAnsi="仿宋" w:eastAsia="仿宋"/>
          <w:sz w:val="24"/>
        </w:rPr>
        <w:t>6、结题报告</w:t>
      </w:r>
    </w:p>
    <w:p>
      <w:pPr>
        <w:spacing w:line="360" w:lineRule="auto"/>
        <w:contextualSpacing/>
        <w:rPr>
          <w:rFonts w:ascii="仿宋" w:hAnsi="仿宋" w:eastAsia="仿宋"/>
          <w:sz w:val="24"/>
        </w:rPr>
      </w:pPr>
      <w:r>
        <w:rPr>
          <w:rFonts w:hint="eastAsia" w:ascii="仿宋" w:hAnsi="仿宋" w:eastAsia="仿宋"/>
          <w:sz w:val="24"/>
        </w:rPr>
        <w:t>项目结题时，投标人应提供：</w:t>
      </w:r>
    </w:p>
    <w:p>
      <w:pPr>
        <w:spacing w:line="360" w:lineRule="auto"/>
        <w:contextualSpacing/>
        <w:rPr>
          <w:rFonts w:ascii="仿宋" w:hAnsi="仿宋" w:eastAsia="仿宋"/>
          <w:sz w:val="24"/>
        </w:rPr>
      </w:pPr>
      <w:r>
        <w:rPr>
          <w:rFonts w:hint="eastAsia" w:ascii="仿宋" w:hAnsi="仿宋" w:eastAsia="仿宋"/>
          <w:sz w:val="24"/>
        </w:rPr>
        <w:t>1）质检文件：DNA质检报告。</w:t>
      </w:r>
    </w:p>
    <w:p>
      <w:pPr>
        <w:spacing w:line="360" w:lineRule="auto"/>
        <w:contextualSpacing/>
        <w:rPr>
          <w:rFonts w:ascii="仿宋" w:hAnsi="仿宋" w:eastAsia="仿宋"/>
          <w:sz w:val="24"/>
        </w:rPr>
      </w:pPr>
      <w:r>
        <w:rPr>
          <w:rFonts w:hint="eastAsia" w:ascii="仿宋" w:hAnsi="仿宋" w:eastAsia="仿宋"/>
          <w:sz w:val="24"/>
        </w:rPr>
        <w:t>2）实验图像：扫描图像文件，所有样品的质检电泳图。</w:t>
      </w:r>
    </w:p>
    <w:p>
      <w:pPr>
        <w:spacing w:line="360" w:lineRule="auto"/>
        <w:contextualSpacing/>
        <w:rPr>
          <w:rFonts w:ascii="仿宋" w:hAnsi="仿宋" w:eastAsia="仿宋"/>
          <w:sz w:val="24"/>
        </w:rPr>
      </w:pPr>
      <w:r>
        <w:rPr>
          <w:rFonts w:hint="eastAsia" w:ascii="仿宋" w:hAnsi="仿宋" w:eastAsia="仿宋"/>
          <w:sz w:val="24"/>
        </w:rPr>
        <w:t xml:space="preserve">3）实验文件：所有实验步骤，包括建库测序和生物信息学分析的具体方法和步骤。 </w:t>
      </w:r>
    </w:p>
    <w:p>
      <w:pPr>
        <w:spacing w:line="360" w:lineRule="auto"/>
        <w:contextualSpacing/>
        <w:rPr>
          <w:rFonts w:ascii="仿宋" w:hAnsi="仿宋" w:eastAsia="仿宋"/>
          <w:sz w:val="24"/>
        </w:rPr>
      </w:pPr>
      <w:r>
        <w:rPr>
          <w:rFonts w:hint="eastAsia" w:ascii="仿宋" w:hAnsi="仿宋" w:eastAsia="仿宋"/>
          <w:sz w:val="24"/>
        </w:rPr>
        <w:t>4）实验数据：提供原始数据文件、生物信息学分析的图或表、数据分析结果。</w:t>
      </w:r>
    </w:p>
    <w:p>
      <w:pPr>
        <w:spacing w:line="360" w:lineRule="auto"/>
        <w:contextualSpacing/>
        <w:rPr>
          <w:rFonts w:ascii="仿宋" w:hAnsi="仿宋" w:eastAsia="仿宋"/>
          <w:sz w:val="24"/>
        </w:rPr>
      </w:pPr>
      <w:r>
        <w:rPr>
          <w:rFonts w:hint="eastAsia" w:ascii="仿宋" w:hAnsi="仿宋" w:eastAsia="仿宋"/>
          <w:sz w:val="24"/>
        </w:rPr>
        <w:t>7、技术支持：完成服务后的1年内，继续提供技术支持，并解答实验与分析过程中的技术问题。同时，工作日期间，技术咨询和售后服务响应时间小于24小时。</w:t>
      </w:r>
    </w:p>
    <w:p>
      <w:pPr>
        <w:spacing w:line="360" w:lineRule="auto"/>
        <w:contextualSpacing/>
        <w:rPr>
          <w:rFonts w:ascii="仿宋" w:hAnsi="仿宋" w:eastAsia="仿宋"/>
          <w:sz w:val="24"/>
        </w:rPr>
      </w:pPr>
      <w:r>
        <w:rPr>
          <w:rFonts w:hint="eastAsia" w:ascii="仿宋" w:hAnsi="仿宋" w:eastAsia="仿宋"/>
          <w:sz w:val="24"/>
        </w:rPr>
        <w:t>8、投标人能够详细列明服务确认时间、咨询服务、投诉响应时效、质量担保及中标承诺等内容。</w:t>
      </w:r>
    </w:p>
    <w:p>
      <w:pPr>
        <w:pStyle w:val="12"/>
      </w:pPr>
    </w:p>
    <w:p>
      <w:pPr>
        <w:widowControl/>
        <w:jc w:val="left"/>
        <w:rPr>
          <w:rFonts w:ascii="仿宋" w:hAnsi="仿宋" w:eastAsia="仿宋"/>
          <w:b/>
          <w:sz w:val="24"/>
          <w:szCs w:val="20"/>
        </w:rPr>
      </w:pPr>
      <w:r>
        <w:rPr>
          <w:b/>
        </w:rPr>
        <w:br w:type="page"/>
      </w:r>
    </w:p>
    <w:p>
      <w:pPr>
        <w:pStyle w:val="12"/>
      </w:pPr>
      <w:r>
        <w:t>第</w:t>
      </w:r>
      <w:r>
        <w:rPr>
          <w:rFonts w:hint="eastAsia"/>
        </w:rPr>
        <w:t>3</w:t>
      </w:r>
      <w:r>
        <w:t>包</w:t>
      </w:r>
      <w:r>
        <w:rPr>
          <w:rFonts w:hint="eastAsia"/>
        </w:rPr>
        <w:t xml:space="preserve"> 测试化验加工委托服务3</w:t>
      </w:r>
    </w:p>
    <w:p>
      <w:pPr>
        <w:spacing w:line="360" w:lineRule="auto"/>
        <w:contextualSpacing/>
        <w:rPr>
          <w:rFonts w:ascii="仿宋" w:hAnsi="仿宋" w:eastAsia="仿宋"/>
          <w:sz w:val="24"/>
        </w:rPr>
      </w:pPr>
      <w:r>
        <w:rPr>
          <w:rFonts w:hint="eastAsia" w:ascii="仿宋" w:hAnsi="仿宋" w:eastAsia="仿宋"/>
          <w:b/>
          <w:bCs/>
          <w:sz w:val="24"/>
        </w:rPr>
        <w:t>（一）服务内容</w:t>
      </w:r>
    </w:p>
    <w:p>
      <w:pPr>
        <w:spacing w:line="360" w:lineRule="auto"/>
        <w:ind w:firstLine="480" w:firstLineChars="200"/>
        <w:contextualSpacing/>
        <w:rPr>
          <w:rFonts w:ascii="仿宋" w:hAnsi="仿宋" w:eastAsia="仿宋"/>
          <w:sz w:val="24"/>
        </w:rPr>
      </w:pPr>
      <w:r>
        <w:rPr>
          <w:rFonts w:hint="eastAsia" w:ascii="仿宋" w:hAnsi="仿宋" w:eastAsia="仿宋"/>
          <w:sz w:val="24"/>
        </w:rPr>
        <w:t>投标人应对采购人提供的样本进行调查问卷录入服务、BRIEF-P问卷、ASQ问卷、儿童功能近红外成像、（fNIRS）检测、污染物暴露指标检测服务。</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297"/>
        <w:gridCol w:w="3829"/>
        <w:gridCol w:w="1226"/>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1" w:type="pct"/>
            <w:vAlign w:val="center"/>
          </w:tcPr>
          <w:p>
            <w:pPr>
              <w:jc w:val="center"/>
              <w:rPr>
                <w:rFonts w:ascii="仿宋" w:hAnsi="仿宋" w:eastAsia="仿宋"/>
                <w:b/>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t>包号</w:t>
            </w:r>
          </w:p>
        </w:tc>
        <w:tc>
          <w:tcPr>
            <w:tcW w:w="698" w:type="pct"/>
            <w:vAlign w:val="center"/>
          </w:tcPr>
          <w:p>
            <w:pPr>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品目号</w:t>
            </w:r>
          </w:p>
        </w:tc>
        <w:tc>
          <w:tcPr>
            <w:tcW w:w="2061" w:type="pct"/>
            <w:vAlign w:val="center"/>
          </w:tcPr>
          <w:p>
            <w:pPr>
              <w:jc w:val="center"/>
              <w:rPr>
                <w:rFonts w:ascii="仿宋" w:hAnsi="仿宋" w:eastAsia="仿宋"/>
                <w:b/>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t>标的名称</w:t>
            </w:r>
          </w:p>
        </w:tc>
        <w:tc>
          <w:tcPr>
            <w:tcW w:w="660" w:type="pct"/>
            <w:vAlign w:val="center"/>
          </w:tcPr>
          <w:p>
            <w:pPr>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数量</w:t>
            </w:r>
          </w:p>
        </w:tc>
        <w:tc>
          <w:tcPr>
            <w:tcW w:w="1000" w:type="pct"/>
            <w:vAlign w:val="center"/>
          </w:tcPr>
          <w:p>
            <w:pPr>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1" w:type="pct"/>
            <w:vMerge w:val="restart"/>
            <w:tcBorders>
              <w:top w:val="sing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p>
        </w:tc>
        <w:tc>
          <w:tcPr>
            <w:tcW w:w="6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3-1</w:t>
            </w:r>
          </w:p>
        </w:tc>
        <w:tc>
          <w:tcPr>
            <w:tcW w:w="206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调查问卷录入服务</w:t>
            </w:r>
          </w:p>
        </w:tc>
        <w:tc>
          <w:tcPr>
            <w:tcW w:w="66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p>
        </w:tc>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1" w:type="pct"/>
            <w:vMerge w:val="continue"/>
            <w:tcBorders>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p>
        </w:tc>
        <w:tc>
          <w:tcPr>
            <w:tcW w:w="6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3-2</w:t>
            </w:r>
          </w:p>
        </w:tc>
        <w:tc>
          <w:tcPr>
            <w:tcW w:w="206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BRIEF-P问卷</w:t>
            </w:r>
          </w:p>
        </w:tc>
        <w:tc>
          <w:tcPr>
            <w:tcW w:w="66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p>
        </w:tc>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1" w:type="pct"/>
            <w:vMerge w:val="continue"/>
            <w:tcBorders>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p>
        </w:tc>
        <w:tc>
          <w:tcPr>
            <w:tcW w:w="6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3-3</w:t>
            </w:r>
          </w:p>
        </w:tc>
        <w:tc>
          <w:tcPr>
            <w:tcW w:w="206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ASQ问卷</w:t>
            </w:r>
          </w:p>
        </w:tc>
        <w:tc>
          <w:tcPr>
            <w:tcW w:w="66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800</w:t>
            </w:r>
          </w:p>
        </w:tc>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1" w:type="pct"/>
            <w:vMerge w:val="continue"/>
            <w:tcBorders>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p>
        </w:tc>
        <w:tc>
          <w:tcPr>
            <w:tcW w:w="6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3-4</w:t>
            </w:r>
          </w:p>
        </w:tc>
        <w:tc>
          <w:tcPr>
            <w:tcW w:w="206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儿童功能近红外成像（fNIRS）检测</w:t>
            </w:r>
          </w:p>
        </w:tc>
        <w:tc>
          <w:tcPr>
            <w:tcW w:w="66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100</w:t>
            </w:r>
          </w:p>
        </w:tc>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人</w:t>
            </w:r>
            <w:r>
              <w:rPr>
                <w:rFonts w:ascii="仿宋" w:hAnsi="仿宋" w:eastAsia="仿宋"/>
                <w:color w:val="000000" w:themeColor="text1"/>
                <w:sz w:val="24"/>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1" w:type="pct"/>
            <w:vMerge w:val="continue"/>
            <w:tcBorders>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p>
        </w:tc>
        <w:tc>
          <w:tcPr>
            <w:tcW w:w="6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3-5</w:t>
            </w:r>
          </w:p>
        </w:tc>
        <w:tc>
          <w:tcPr>
            <w:tcW w:w="206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污染物暴露指标检测</w:t>
            </w:r>
          </w:p>
        </w:tc>
        <w:tc>
          <w:tcPr>
            <w:tcW w:w="66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600</w:t>
            </w:r>
          </w:p>
        </w:tc>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人</w:t>
            </w:r>
            <w:r>
              <w:rPr>
                <w:rFonts w:ascii="仿宋" w:hAnsi="仿宋" w:eastAsia="仿宋"/>
                <w:color w:val="000000" w:themeColor="text1"/>
                <w:sz w:val="24"/>
                <w14:textFill>
                  <w14:solidFill>
                    <w14:schemeClr w14:val="tx1"/>
                  </w14:solidFill>
                </w14:textFill>
              </w:rPr>
              <w:t>次</w:t>
            </w:r>
          </w:p>
        </w:tc>
      </w:tr>
    </w:tbl>
    <w:p>
      <w:pPr>
        <w:spacing w:line="360" w:lineRule="auto"/>
        <w:contextualSpacing/>
        <w:rPr>
          <w:rFonts w:ascii="仿宋" w:hAnsi="仿宋" w:eastAsia="仿宋"/>
          <w:sz w:val="24"/>
        </w:rPr>
      </w:pPr>
      <w:r>
        <w:rPr>
          <w:rFonts w:hint="eastAsia" w:ascii="仿宋" w:hAnsi="仿宋" w:eastAsia="仿宋"/>
          <w:b/>
          <w:bCs/>
          <w:sz w:val="24"/>
        </w:rPr>
        <w:t>（二）具体要求</w:t>
      </w:r>
    </w:p>
    <w:p>
      <w:pPr>
        <w:spacing w:line="360" w:lineRule="auto"/>
        <w:contextualSpacing/>
        <w:rPr>
          <w:rFonts w:ascii="仿宋" w:hAnsi="仿宋" w:eastAsia="仿宋"/>
          <w:sz w:val="24"/>
        </w:rPr>
      </w:pPr>
      <w:r>
        <w:rPr>
          <w:rFonts w:hint="eastAsia" w:ascii="仿宋" w:hAnsi="仿宋" w:eastAsia="仿宋"/>
          <w:sz w:val="24"/>
        </w:rPr>
        <w:t>1、调查问卷录入服务</w:t>
      </w:r>
    </w:p>
    <w:p>
      <w:pPr>
        <w:spacing w:line="360" w:lineRule="auto"/>
        <w:contextualSpacing/>
        <w:rPr>
          <w:rFonts w:ascii="仿宋" w:hAnsi="仿宋" w:eastAsia="仿宋"/>
          <w:sz w:val="24"/>
        </w:rPr>
      </w:pPr>
      <w:r>
        <w:rPr>
          <w:rFonts w:hint="eastAsia" w:ascii="仿宋" w:hAnsi="仿宋" w:eastAsia="仿宋"/>
          <w:sz w:val="24"/>
        </w:rPr>
        <w:t>（1）数据录入准确率：≥99.5%，须进行双人交叉核对或机器辅助校验机制。</w:t>
      </w:r>
    </w:p>
    <w:p>
      <w:pPr>
        <w:spacing w:line="360" w:lineRule="auto"/>
        <w:contextualSpacing/>
        <w:rPr>
          <w:rFonts w:ascii="仿宋" w:hAnsi="仿宋" w:eastAsia="仿宋"/>
          <w:sz w:val="24"/>
        </w:rPr>
      </w:pPr>
      <w:r>
        <w:rPr>
          <w:rFonts w:hint="eastAsia" w:ascii="仿宋" w:hAnsi="仿宋" w:eastAsia="仿宋"/>
          <w:sz w:val="24"/>
        </w:rPr>
        <w:t>（2）录入格式：支持Excel、CSV、SPSS等格式导出；变量命名规范，编码一致。</w:t>
      </w:r>
    </w:p>
    <w:p>
      <w:pPr>
        <w:spacing w:line="360" w:lineRule="auto"/>
        <w:contextualSpacing/>
        <w:rPr>
          <w:rFonts w:ascii="仿宋" w:hAnsi="仿宋" w:eastAsia="仿宋"/>
          <w:sz w:val="24"/>
        </w:rPr>
      </w:pPr>
      <w:r>
        <w:rPr>
          <w:rFonts w:hint="eastAsia" w:ascii="仿宋" w:hAnsi="仿宋" w:eastAsia="仿宋"/>
          <w:sz w:val="24"/>
        </w:rPr>
        <w:t>（3）问卷种类支持：支持纸质问卷、扫描版PDF、电子问卷等多种形式的数据录入。</w:t>
      </w:r>
    </w:p>
    <w:p>
      <w:pPr>
        <w:spacing w:line="360" w:lineRule="auto"/>
        <w:contextualSpacing/>
        <w:rPr>
          <w:rFonts w:ascii="仿宋" w:hAnsi="仿宋" w:eastAsia="仿宋"/>
          <w:sz w:val="24"/>
        </w:rPr>
      </w:pPr>
      <w:r>
        <w:rPr>
          <w:rFonts w:hint="eastAsia" w:ascii="仿宋" w:hAnsi="仿宋" w:eastAsia="仿宋"/>
          <w:sz w:val="24"/>
        </w:rPr>
        <w:t>（4）变量设定：支持定类、定序、定距、定比数据类型的字段设定。</w:t>
      </w:r>
    </w:p>
    <w:p>
      <w:pPr>
        <w:spacing w:line="360" w:lineRule="auto"/>
        <w:contextualSpacing/>
        <w:rPr>
          <w:rFonts w:ascii="仿宋" w:hAnsi="仿宋" w:eastAsia="仿宋"/>
          <w:sz w:val="24"/>
        </w:rPr>
      </w:pPr>
      <w:r>
        <w:rPr>
          <w:rFonts w:hint="eastAsia" w:ascii="仿宋" w:hAnsi="仿宋" w:eastAsia="仿宋"/>
          <w:sz w:val="24"/>
        </w:rPr>
        <w:t>（5）数据安全与保密：符合科研伦理及数据保护政策；提供完整的保密协议。</w:t>
      </w:r>
    </w:p>
    <w:p>
      <w:pPr>
        <w:spacing w:line="360" w:lineRule="auto"/>
        <w:contextualSpacing/>
        <w:rPr>
          <w:rFonts w:ascii="仿宋" w:hAnsi="仿宋" w:eastAsia="仿宋"/>
          <w:sz w:val="24"/>
        </w:rPr>
      </w:pPr>
      <w:r>
        <w:rPr>
          <w:rFonts w:hint="eastAsia" w:ascii="仿宋" w:hAnsi="仿宋" w:eastAsia="仿宋"/>
          <w:sz w:val="24"/>
        </w:rPr>
        <w:t>（6）质控要求：提供录入过程质控记录；需提供样本核查结果；随机抽样不少于10%的问卷进行人工复核。</w:t>
      </w:r>
    </w:p>
    <w:p>
      <w:pPr>
        <w:spacing w:line="360" w:lineRule="auto"/>
        <w:contextualSpacing/>
        <w:rPr>
          <w:rFonts w:ascii="仿宋" w:hAnsi="仿宋" w:eastAsia="仿宋"/>
          <w:sz w:val="24"/>
        </w:rPr>
      </w:pPr>
      <w:r>
        <w:rPr>
          <w:rFonts w:hint="eastAsia" w:ascii="仿宋" w:hAnsi="仿宋" w:eastAsia="仿宋"/>
          <w:sz w:val="24"/>
        </w:rPr>
        <w:t>（7）处理规模：支持≥1000份问卷的批量数据录入，按需扩展。</w:t>
      </w:r>
    </w:p>
    <w:p>
      <w:pPr>
        <w:spacing w:line="360" w:lineRule="auto"/>
        <w:contextualSpacing/>
        <w:rPr>
          <w:rFonts w:ascii="仿宋" w:hAnsi="仿宋" w:eastAsia="仿宋"/>
          <w:sz w:val="24"/>
        </w:rPr>
      </w:pPr>
      <w:r>
        <w:rPr>
          <w:rFonts w:hint="eastAsia" w:ascii="仿宋" w:hAnsi="仿宋" w:eastAsia="仿宋"/>
          <w:sz w:val="24"/>
        </w:rPr>
        <w:t>2、BRIEF-P问卷</w:t>
      </w:r>
    </w:p>
    <w:p>
      <w:pPr>
        <w:spacing w:line="360" w:lineRule="auto"/>
        <w:contextualSpacing/>
        <w:rPr>
          <w:rFonts w:ascii="仿宋" w:hAnsi="仿宋" w:eastAsia="仿宋"/>
          <w:sz w:val="24"/>
        </w:rPr>
      </w:pPr>
      <w:r>
        <w:rPr>
          <w:rFonts w:hint="eastAsia" w:ascii="仿宋" w:hAnsi="仿宋" w:eastAsia="仿宋"/>
          <w:sz w:val="24"/>
        </w:rPr>
        <w:t>（1）量表版本：BRIEF-P。</w:t>
      </w:r>
    </w:p>
    <w:p>
      <w:pPr>
        <w:spacing w:line="360" w:lineRule="auto"/>
        <w:contextualSpacing/>
        <w:rPr>
          <w:rFonts w:ascii="仿宋" w:hAnsi="仿宋" w:eastAsia="仿宋"/>
          <w:sz w:val="24"/>
        </w:rPr>
      </w:pPr>
      <w:r>
        <w:rPr>
          <w:rFonts w:hint="eastAsia" w:ascii="仿宋" w:hAnsi="仿宋" w:eastAsia="仿宋"/>
          <w:sz w:val="24"/>
        </w:rPr>
        <w:t>（2）适用年龄：2岁0个月～5岁11个月儿童。</w:t>
      </w:r>
    </w:p>
    <w:p>
      <w:pPr>
        <w:spacing w:line="360" w:lineRule="auto"/>
        <w:contextualSpacing/>
        <w:rPr>
          <w:rFonts w:ascii="仿宋" w:hAnsi="仿宋" w:eastAsia="仿宋"/>
          <w:sz w:val="24"/>
        </w:rPr>
      </w:pPr>
      <w:r>
        <w:rPr>
          <w:rFonts w:hint="eastAsia" w:ascii="仿宋" w:hAnsi="仿宋" w:eastAsia="仿宋"/>
          <w:sz w:val="24"/>
        </w:rPr>
        <w:t>（3）量表维度：抑制控制（Inhibit），转换能力（Shift），情绪控制（Emotional Control），工作记忆（Working Memory），计划/组织（Plan/Organize）。</w:t>
      </w:r>
    </w:p>
    <w:p>
      <w:pPr>
        <w:spacing w:line="360" w:lineRule="auto"/>
        <w:contextualSpacing/>
        <w:rPr>
          <w:rFonts w:ascii="仿宋" w:hAnsi="仿宋" w:eastAsia="仿宋"/>
          <w:sz w:val="24"/>
        </w:rPr>
      </w:pPr>
      <w:r>
        <w:rPr>
          <w:rFonts w:hint="eastAsia" w:ascii="仿宋" w:hAnsi="仿宋" w:eastAsia="仿宋"/>
          <w:sz w:val="24"/>
        </w:rPr>
        <w:t>（4）测评方式：家长或教师填写；每项采用Likert 3级评分；支持纸质或电子测评。</w:t>
      </w:r>
    </w:p>
    <w:p>
      <w:pPr>
        <w:spacing w:line="360" w:lineRule="auto"/>
        <w:contextualSpacing/>
        <w:rPr>
          <w:rFonts w:ascii="仿宋" w:hAnsi="仿宋" w:eastAsia="仿宋"/>
          <w:sz w:val="24"/>
        </w:rPr>
      </w:pPr>
      <w:r>
        <w:rPr>
          <w:rFonts w:hint="eastAsia" w:ascii="仿宋" w:hAnsi="仿宋" w:eastAsia="仿宋"/>
          <w:sz w:val="24"/>
        </w:rPr>
        <w:t>（5）信度与效度：信度指标（如内部一致性Cronbach's α）需≥0.85；具备较强的结构效度和判别效度。</w:t>
      </w:r>
    </w:p>
    <w:p>
      <w:pPr>
        <w:spacing w:line="360" w:lineRule="auto"/>
        <w:contextualSpacing/>
        <w:rPr>
          <w:rFonts w:ascii="仿宋" w:hAnsi="仿宋" w:eastAsia="仿宋"/>
          <w:sz w:val="24"/>
        </w:rPr>
      </w:pPr>
      <w:r>
        <w:rPr>
          <w:rFonts w:hint="eastAsia" w:ascii="仿宋" w:hAnsi="仿宋" w:eastAsia="仿宋"/>
          <w:sz w:val="24"/>
        </w:rPr>
        <w:t>（6）评分方式：提供标准评分工具；可按年龄性别进行常模转换。</w:t>
      </w:r>
    </w:p>
    <w:p>
      <w:pPr>
        <w:spacing w:line="360" w:lineRule="auto"/>
        <w:contextualSpacing/>
        <w:rPr>
          <w:rFonts w:ascii="仿宋" w:hAnsi="仿宋" w:eastAsia="仿宋"/>
          <w:sz w:val="24"/>
        </w:rPr>
      </w:pPr>
      <w:r>
        <w:rPr>
          <w:rFonts w:hint="eastAsia" w:ascii="仿宋" w:hAnsi="仿宋" w:eastAsia="仿宋"/>
          <w:sz w:val="24"/>
        </w:rPr>
        <w:t>（7）版权与授权：需取得正式授权。</w:t>
      </w:r>
    </w:p>
    <w:p>
      <w:pPr>
        <w:spacing w:line="360" w:lineRule="auto"/>
        <w:contextualSpacing/>
        <w:rPr>
          <w:rFonts w:ascii="仿宋" w:hAnsi="仿宋" w:eastAsia="仿宋"/>
          <w:sz w:val="24"/>
        </w:rPr>
      </w:pPr>
      <w:r>
        <w:rPr>
          <w:rFonts w:hint="eastAsia" w:ascii="仿宋" w:hAnsi="仿宋" w:eastAsia="仿宋"/>
          <w:sz w:val="24"/>
        </w:rPr>
        <w:t>3、ASQ问卷</w:t>
      </w:r>
    </w:p>
    <w:p>
      <w:pPr>
        <w:spacing w:line="360" w:lineRule="auto"/>
        <w:contextualSpacing/>
        <w:rPr>
          <w:rFonts w:ascii="仿宋" w:hAnsi="仿宋" w:eastAsia="仿宋"/>
          <w:sz w:val="24"/>
        </w:rPr>
      </w:pPr>
      <w:r>
        <w:rPr>
          <w:rFonts w:hint="eastAsia" w:ascii="仿宋" w:hAnsi="仿宋" w:eastAsia="仿宋"/>
          <w:sz w:val="24"/>
        </w:rPr>
        <w:t>（1）评估内容包括儿童综合发育筛查（测试一）和社会-情绪发育筛查（测试二）。</w:t>
      </w:r>
    </w:p>
    <w:p>
      <w:pPr>
        <w:spacing w:line="360" w:lineRule="auto"/>
        <w:contextualSpacing/>
        <w:rPr>
          <w:rFonts w:ascii="仿宋" w:hAnsi="仿宋" w:eastAsia="仿宋"/>
          <w:sz w:val="24"/>
        </w:rPr>
      </w:pPr>
      <w:r>
        <w:rPr>
          <w:rFonts w:hint="eastAsia" w:ascii="仿宋" w:hAnsi="仿宋" w:eastAsia="仿宋"/>
          <w:sz w:val="24"/>
        </w:rPr>
        <w:t>（2）测试一适用于1个月0天-66个月0天月龄儿童，测试二适用于1个月0天-72个月0天月龄儿童。</w:t>
      </w:r>
    </w:p>
    <w:p>
      <w:pPr>
        <w:spacing w:line="360" w:lineRule="auto"/>
        <w:contextualSpacing/>
        <w:rPr>
          <w:rFonts w:ascii="仿宋" w:hAnsi="仿宋" w:eastAsia="仿宋"/>
          <w:sz w:val="24"/>
        </w:rPr>
      </w:pPr>
      <w:r>
        <w:rPr>
          <w:rFonts w:hint="eastAsia" w:ascii="仿宋" w:hAnsi="仿宋" w:eastAsia="仿宋"/>
          <w:sz w:val="24"/>
        </w:rPr>
        <w:t>（3）符合国家网络安全等级保护（三级）要求。</w:t>
      </w:r>
    </w:p>
    <w:p>
      <w:pPr>
        <w:spacing w:line="360" w:lineRule="auto"/>
        <w:contextualSpacing/>
        <w:rPr>
          <w:rFonts w:ascii="仿宋" w:hAnsi="仿宋" w:eastAsia="仿宋"/>
          <w:sz w:val="24"/>
        </w:rPr>
      </w:pPr>
      <w:r>
        <w:rPr>
          <w:rFonts w:hint="eastAsia" w:ascii="仿宋" w:hAnsi="仿宋" w:eastAsia="仿宋"/>
          <w:sz w:val="24"/>
        </w:rPr>
        <w:t>（4）测试一和测试二具体内容要求如下：</w:t>
      </w:r>
    </w:p>
    <w:p>
      <w:pPr>
        <w:spacing w:line="360" w:lineRule="auto"/>
        <w:contextualSpacing/>
        <w:rPr>
          <w:rFonts w:ascii="仿宋" w:hAnsi="仿宋" w:eastAsia="仿宋"/>
          <w:sz w:val="24"/>
        </w:rPr>
      </w:pPr>
      <w:r>
        <w:rPr>
          <w:rFonts w:hint="eastAsia" w:ascii="仿宋" w:hAnsi="仿宋" w:eastAsia="仿宋"/>
          <w:sz w:val="24"/>
        </w:rPr>
        <w:t>a)测试一分为21个月龄组：评估6岁以下儿童的身体发育，每份问卷共有五个能区：沟通能区：评估对语言的理解和口头表达能力；粗大动作：评估大肌肉的运动能力；精细动作：评估手和手指的运动和协调的能力；解决问题：评估玩玩具和解决问题的能力；个人-社会：评估单独社交性玩耍、玩玩具、自助技能以及与其他人互动的能力。</w:t>
      </w:r>
    </w:p>
    <w:p>
      <w:pPr>
        <w:spacing w:line="360" w:lineRule="auto"/>
        <w:contextualSpacing/>
        <w:rPr>
          <w:rFonts w:ascii="仿宋" w:hAnsi="仿宋" w:eastAsia="仿宋"/>
          <w:sz w:val="24"/>
        </w:rPr>
      </w:pPr>
      <w:r>
        <w:rPr>
          <w:rFonts w:hint="eastAsia" w:ascii="仿宋" w:hAnsi="仿宋" w:eastAsia="仿宋"/>
          <w:sz w:val="24"/>
        </w:rPr>
        <w:t>b)测试二包括9个月龄组，评估评估6岁以下儿童的社会-情绪发展，心理健康水平，每份问卷共有七个能区：自我调控：使自己安静、安顿下来或适应生理或环境状况的能力或意愿；依从性：服从他人指令和遵守规则的能力或意愿；适应能力：成功地解决或应对生理需要（例如，睡觉、吃饭、排泄和安全）的能力；自主性：自行发起或无指令下行动（例如，自主移动）的能力或意愿；情感：展示感情和对他人的同情心的能力和意愿；社会-沟通：响应或自发发出言语或非言语信号来表示兴趣、需求、感觉、感情或内部状态的能力或意愿；人际互动：回应或发起与父母、其他成人和同龄儿童的社交反应的能力或意愿。</w:t>
      </w:r>
    </w:p>
    <w:p>
      <w:pPr>
        <w:spacing w:line="360" w:lineRule="auto"/>
        <w:contextualSpacing/>
        <w:rPr>
          <w:rFonts w:ascii="仿宋" w:hAnsi="仿宋" w:eastAsia="仿宋"/>
          <w:sz w:val="24"/>
        </w:rPr>
      </w:pPr>
      <w:r>
        <w:rPr>
          <w:rFonts w:hint="eastAsia" w:ascii="仿宋" w:hAnsi="仿宋" w:eastAsia="仿宋"/>
          <w:sz w:val="24"/>
        </w:rPr>
        <w:t>4、儿童功能近红外成像（fNIRS）检测</w:t>
      </w:r>
    </w:p>
    <w:p>
      <w:pPr>
        <w:spacing w:line="360" w:lineRule="auto"/>
        <w:contextualSpacing/>
        <w:rPr>
          <w:rFonts w:ascii="仿宋" w:hAnsi="仿宋" w:eastAsia="仿宋"/>
          <w:sz w:val="24"/>
        </w:rPr>
      </w:pPr>
      <w:r>
        <w:rPr>
          <w:rFonts w:hint="eastAsia" w:ascii="仿宋" w:hAnsi="仿宋" w:eastAsia="仿宋"/>
          <w:sz w:val="24"/>
        </w:rPr>
        <w:t>（</w:t>
      </w:r>
      <w:r>
        <w:rPr>
          <w:rFonts w:ascii="仿宋" w:hAnsi="仿宋" w:eastAsia="仿宋"/>
          <w:sz w:val="24"/>
        </w:rPr>
        <w:t xml:space="preserve">1）设备需符合国家及行业相关标准，经过严格校准和验证，具备良好的稳定性与准确性。能够满足6-16岁儿童检测，设备单主机，非级联，63 </w:t>
      </w:r>
      <w:r>
        <w:rPr>
          <w:rFonts w:hint="eastAsia" w:ascii="仿宋" w:hAnsi="仿宋" w:eastAsia="仿宋"/>
          <w:sz w:val="24"/>
        </w:rPr>
        <w:t>有效探测通道（非断层），支持多脑区同步检测，包括</w:t>
      </w:r>
      <w:r>
        <w:rPr>
          <w:rFonts w:ascii="仿宋" w:hAnsi="仿宋" w:eastAsia="仿宋"/>
          <w:sz w:val="24"/>
        </w:rPr>
        <w:t xml:space="preserve"> 24 </w:t>
      </w:r>
      <w:r>
        <w:rPr>
          <w:rFonts w:hint="eastAsia" w:ascii="仿宋" w:hAnsi="仿宋" w:eastAsia="仿宋"/>
          <w:sz w:val="24"/>
        </w:rPr>
        <w:t>发射探头，</w:t>
      </w:r>
      <w:r>
        <w:rPr>
          <w:rFonts w:ascii="仿宋" w:hAnsi="仿宋" w:eastAsia="仿宋"/>
          <w:sz w:val="24"/>
        </w:rPr>
        <w:t xml:space="preserve">16 </w:t>
      </w:r>
      <w:r>
        <w:rPr>
          <w:rFonts w:hint="eastAsia" w:ascii="仿宋" w:hAnsi="仿宋" w:eastAsia="仿宋"/>
          <w:sz w:val="24"/>
        </w:rPr>
        <w:t>接收探头；测量时间分辨率≥</w:t>
      </w:r>
      <w:r>
        <w:rPr>
          <w:rFonts w:ascii="仿宋" w:hAnsi="仿宋" w:eastAsia="仿宋"/>
          <w:sz w:val="24"/>
        </w:rPr>
        <w:t>11Hz，发射探头光功率：单波长≥45mW；</w:t>
      </w:r>
    </w:p>
    <w:p>
      <w:pPr>
        <w:tabs>
          <w:tab w:val="left" w:pos="1701"/>
        </w:tabs>
        <w:spacing w:line="360" w:lineRule="auto"/>
        <w:contextualSpacing/>
        <w:rPr>
          <w:rFonts w:ascii="仿宋" w:hAnsi="仿宋" w:eastAsia="仿宋"/>
          <w:sz w:val="24"/>
        </w:rPr>
      </w:pPr>
      <w:r>
        <w:rPr>
          <w:rFonts w:hint="eastAsia" w:ascii="仿宋" w:hAnsi="仿宋" w:eastAsia="仿宋"/>
          <w:sz w:val="24"/>
        </w:rPr>
        <w:t>（</w:t>
      </w:r>
      <w:r>
        <w:rPr>
          <w:rFonts w:ascii="仿宋" w:hAnsi="仿宋" w:eastAsia="仿宋"/>
          <w:sz w:val="24"/>
        </w:rPr>
        <w:t>2）包括</w:t>
      </w:r>
      <w:r>
        <w:rPr>
          <w:rFonts w:hint="eastAsia" w:ascii="仿宋" w:hAnsi="仿宋" w:eastAsia="仿宋"/>
          <w:sz w:val="24"/>
        </w:rPr>
        <w:t>静息态脑功能检测和任务态脑功能检测。任务态检测涵盖语言任务、视觉任务、运动任务等，具体任务类型可根据实际检测需求进行调整。内置临床科研研究模板，提供包括言语流畅性、</w:t>
      </w:r>
      <w:r>
        <w:rPr>
          <w:rFonts w:ascii="仿宋" w:hAnsi="仿宋" w:eastAsia="仿宋"/>
          <w:sz w:val="24"/>
        </w:rPr>
        <w:t>Go-Nogo</w:t>
      </w:r>
      <w:r>
        <w:rPr>
          <w:rFonts w:hint="eastAsia" w:ascii="仿宋" w:hAnsi="仿宋" w:eastAsia="仿宋"/>
          <w:sz w:val="24"/>
        </w:rPr>
        <w:t>、</w:t>
      </w:r>
      <w:r>
        <w:rPr>
          <w:rFonts w:ascii="仿宋" w:hAnsi="仿宋" w:eastAsia="仿宋"/>
          <w:sz w:val="24"/>
        </w:rPr>
        <w:t xml:space="preserve">N-back </w:t>
      </w:r>
      <w:r>
        <w:rPr>
          <w:rFonts w:hint="eastAsia" w:ascii="仿宋" w:hAnsi="仿宋" w:eastAsia="仿宋"/>
          <w:sz w:val="24"/>
        </w:rPr>
        <w:t>等多个研究模板，并针对模板提供自动分析和参数提取；</w:t>
      </w:r>
    </w:p>
    <w:p>
      <w:pPr>
        <w:spacing w:line="360" w:lineRule="auto"/>
        <w:contextualSpacing/>
        <w:rPr>
          <w:rFonts w:ascii="仿宋" w:hAnsi="仿宋" w:eastAsia="仿宋"/>
          <w:sz w:val="24"/>
        </w:rPr>
      </w:pPr>
      <w:r>
        <w:rPr>
          <w:rFonts w:hint="eastAsia" w:ascii="仿宋" w:hAnsi="仿宋" w:eastAsia="仿宋"/>
          <w:sz w:val="24"/>
        </w:rPr>
        <w:t>（</w:t>
      </w:r>
      <w:r>
        <w:rPr>
          <w:rFonts w:ascii="仿宋" w:hAnsi="仿宋" w:eastAsia="仿宋"/>
          <w:sz w:val="24"/>
        </w:rPr>
        <w:t>3）检测图像保存支持波形、二维、三维图像的各种查看方式与保存为".tif"、".bmp"、".mat"等格式；支持数据和处理结果导出保存为".CSV"等多种数据格式。</w:t>
      </w:r>
    </w:p>
    <w:p>
      <w:pPr>
        <w:spacing w:line="360" w:lineRule="auto"/>
        <w:contextualSpacing/>
        <w:rPr>
          <w:rFonts w:ascii="仿宋" w:hAnsi="仿宋" w:eastAsia="仿宋"/>
          <w:sz w:val="24"/>
        </w:rPr>
      </w:pPr>
      <w:r>
        <w:rPr>
          <w:rFonts w:hint="eastAsia" w:ascii="仿宋" w:hAnsi="仿宋" w:eastAsia="仿宋"/>
          <w:sz w:val="24"/>
        </w:rPr>
        <w:t>5、污染物暴露指标检测</w:t>
      </w:r>
    </w:p>
    <w:p>
      <w:pPr>
        <w:spacing w:line="360" w:lineRule="auto"/>
        <w:contextualSpacing/>
        <w:rPr>
          <w:rFonts w:ascii="仿宋" w:hAnsi="仿宋" w:eastAsia="仿宋"/>
          <w:sz w:val="24"/>
        </w:rPr>
      </w:pPr>
      <w:r>
        <w:rPr>
          <w:rFonts w:hint="eastAsia" w:ascii="仿宋" w:hAnsi="仿宋" w:eastAsia="仿宋"/>
          <w:sz w:val="24"/>
        </w:rPr>
        <w:t>（1）全氟化合物，包括33种全氟化合物：PFBA , PFPeA , PFHxA , PFHpA , PFOA , PFNA , PFDA , PFUdA , PFDoA , PFTrDA , PFTeDA , PFBS , PFPeS , L - PFHxS , br - PFHxS , PFHpS , L -33PFOS,6m- PFOS ,E3,4,5m- PFOS ,Em2- PFOS ,1m- PFOS , PFNS , PFDS , FOSA , N - MeFOSAA , N - EtFOSAA ,4:2FTS,6:2 FTS ,8:2FTS, HFPO - DA , ADONA ,6:2 CI - PFESA ,8:2CI- PFESA，采用液相色谱三重四极杆串联质谱仪，样本类型为200ul血清／血浆，样本量200。</w:t>
      </w:r>
    </w:p>
    <w:p>
      <w:pPr>
        <w:spacing w:line="360" w:lineRule="auto"/>
        <w:contextualSpacing/>
        <w:rPr>
          <w:rFonts w:ascii="仿宋" w:hAnsi="仿宋" w:eastAsia="仿宋"/>
          <w:sz w:val="24"/>
        </w:rPr>
      </w:pPr>
      <w:r>
        <w:rPr>
          <w:rFonts w:hint="eastAsia" w:ascii="仿宋" w:hAnsi="仿宋" w:eastAsia="仿宋"/>
          <w:sz w:val="24"/>
        </w:rPr>
        <w:t>（2）邻苯二甲酸酯，包括7种酚类化合物：URXMBP ，URXMCP，URXMEP，URXMHP，URXMNP，URXMOP，URXMZP，采用高效液相色谱串联质谱联用仪，样本类型为1ml尿液，样本量200。</w:t>
      </w:r>
    </w:p>
    <w:p>
      <w:pPr>
        <w:spacing w:line="360" w:lineRule="auto"/>
        <w:contextualSpacing/>
        <w:rPr>
          <w:rFonts w:ascii="仿宋" w:hAnsi="仿宋" w:eastAsia="仿宋"/>
          <w:sz w:val="24"/>
        </w:rPr>
      </w:pPr>
      <w:r>
        <w:rPr>
          <w:rFonts w:hint="eastAsia" w:ascii="仿宋" w:hAnsi="仿宋" w:eastAsia="仿宋"/>
          <w:sz w:val="24"/>
        </w:rPr>
        <w:t>（3）酚类化合物，包括18种酚类化合物：methyl 4- hydroxybenzoate ( MeP ), ethyl 4- hydroxybenzoate ( EtP ), propyl 4- hydroxybenzoate ( PrP ), butyl 4- hydroxybenzoate ( BuP ), heptyl 4- hydroxybenzoate ( HeP ), BPA , bisphenol B ( BPB ), BPS , TCS , benzyl 4- hydroxybenzoate ( BzP ), bisphenol AF ( BPAF ),BPAP,bisphenol P ( BPP ), bisphenol Z ( BPZ ),2,4- dihydroxy benzophenone ( BP-1),2,20,4,40- tetrahydroxy benzophenone ( BP-2),2,20- dihydroxy -4- methoxybenzophenone ( BP-8),4- hydroxy benzophenone (4-HBP ) ，采用液相色谱串联质谱，样本类型为500ul尿液，样本量200。</w:t>
      </w:r>
    </w:p>
    <w:p>
      <w:pPr>
        <w:spacing w:line="360" w:lineRule="auto"/>
        <w:contextualSpacing/>
        <w:rPr>
          <w:rFonts w:ascii="仿宋" w:hAnsi="仿宋" w:eastAsia="仿宋"/>
          <w:b/>
          <w:bCs/>
          <w:sz w:val="24"/>
        </w:rPr>
      </w:pPr>
      <w:r>
        <w:rPr>
          <w:rFonts w:hint="eastAsia" w:ascii="仿宋" w:hAnsi="仿宋" w:eastAsia="仿宋"/>
          <w:b/>
          <w:bCs/>
          <w:sz w:val="24"/>
        </w:rPr>
        <w:t>（三）其他相关要求</w:t>
      </w:r>
    </w:p>
    <w:p>
      <w:pPr>
        <w:spacing w:line="360" w:lineRule="auto"/>
        <w:contextualSpacing/>
        <w:rPr>
          <w:rFonts w:ascii="仿宋" w:hAnsi="仿宋" w:eastAsia="仿宋"/>
          <w:b/>
          <w:sz w:val="24"/>
        </w:rPr>
      </w:pPr>
      <w:r>
        <w:rPr>
          <w:rFonts w:hint="eastAsia" w:ascii="仿宋" w:hAnsi="仿宋" w:eastAsia="仿宋"/>
          <w:bCs/>
          <w:sz w:val="24"/>
        </w:rPr>
        <w:t>1、</w:t>
      </w:r>
      <w:r>
        <w:rPr>
          <w:rFonts w:hint="eastAsia" w:ascii="仿宋" w:hAnsi="仿宋" w:eastAsia="仿宋"/>
          <w:b/>
          <w:sz w:val="24"/>
        </w:rPr>
        <w:t>团队人员要求</w:t>
      </w:r>
    </w:p>
    <w:p>
      <w:pPr>
        <w:spacing w:line="360" w:lineRule="auto"/>
        <w:contextualSpacing/>
        <w:rPr>
          <w:rFonts w:ascii="仿宋" w:hAnsi="仿宋" w:eastAsia="仿宋"/>
          <w:sz w:val="24"/>
        </w:rPr>
      </w:pPr>
      <w:r>
        <w:rPr>
          <w:rFonts w:hint="eastAsia" w:ascii="仿宋" w:hAnsi="仿宋" w:eastAsia="仿宋"/>
          <w:sz w:val="24"/>
        </w:rPr>
        <w:t>项目团队成员均具备相关工作经验且管理与实施需分工明确。其中：</w:t>
      </w:r>
    </w:p>
    <w:p>
      <w:pPr>
        <w:spacing w:line="360" w:lineRule="auto"/>
        <w:contextualSpacing/>
        <w:rPr>
          <w:rFonts w:ascii="仿宋" w:hAnsi="仿宋" w:eastAsia="仿宋"/>
          <w:sz w:val="24"/>
        </w:rPr>
      </w:pPr>
      <w:r>
        <w:rPr>
          <w:rFonts w:ascii="仿宋" w:hAnsi="仿宋" w:eastAsia="仿宋"/>
          <w:sz w:val="24"/>
        </w:rPr>
        <w:t>1.1</w:t>
      </w:r>
      <w:r>
        <w:rPr>
          <w:rFonts w:hint="eastAsia" w:ascii="仿宋" w:hAnsi="仿宋" w:eastAsia="仿宋"/>
          <w:sz w:val="24"/>
        </w:rPr>
        <w:t>、项目管理人员1人，需具有博士学历或高级技术职务职称，5年以上同类项目工作经验，</w:t>
      </w:r>
      <w:r>
        <w:rPr>
          <w:rFonts w:hint="eastAsia" w:ascii="仿宋" w:hAnsi="仿宋" w:eastAsia="仿宋"/>
          <w:bCs/>
          <w:sz w:val="24"/>
        </w:rPr>
        <w:t>负责项目跟进及整体项目质量及进度把控，以提供管理人员简介、学历学位或职称证书为准；</w:t>
      </w:r>
    </w:p>
    <w:p>
      <w:pPr>
        <w:spacing w:line="360" w:lineRule="auto"/>
        <w:contextualSpacing/>
        <w:rPr>
          <w:rStyle w:val="17"/>
          <w:rFonts w:ascii="仿宋" w:hAnsi="仿宋" w:eastAsia="仿宋"/>
          <w:sz w:val="24"/>
          <w:szCs w:val="24"/>
        </w:rPr>
      </w:pPr>
      <w:r>
        <w:rPr>
          <w:rFonts w:ascii="仿宋" w:hAnsi="仿宋" w:eastAsia="仿宋"/>
          <w:sz w:val="24"/>
        </w:rPr>
        <w:t>1.2</w:t>
      </w:r>
      <w:r>
        <w:rPr>
          <w:rFonts w:hint="eastAsia" w:ascii="仿宋" w:hAnsi="仿宋" w:eastAsia="仿宋"/>
          <w:sz w:val="24"/>
        </w:rPr>
        <w:t>、项目实施团队人员至少5人，需具有硕士及以上学历，有5年以上的项目经验，针对本项目分工明确合理，</w:t>
      </w:r>
      <w:r>
        <w:rPr>
          <w:rFonts w:hint="eastAsia" w:ascii="仿宋" w:hAnsi="仿宋" w:eastAsia="仿宋"/>
          <w:bCs/>
          <w:sz w:val="24"/>
        </w:rPr>
        <w:t>以提供包括详细成员职责的项目人员名单，项目人员学历学位或相关证书为准。</w:t>
      </w:r>
    </w:p>
    <w:p>
      <w:pPr>
        <w:spacing w:line="360" w:lineRule="auto"/>
        <w:contextualSpacing/>
        <w:rPr>
          <w:rFonts w:ascii="仿宋" w:hAnsi="仿宋" w:eastAsia="仿宋"/>
          <w:sz w:val="24"/>
        </w:rPr>
      </w:pPr>
      <w:r>
        <w:rPr>
          <w:rStyle w:val="17"/>
          <w:rFonts w:ascii="仿宋" w:hAnsi="仿宋" w:eastAsia="仿宋"/>
          <w:sz w:val="24"/>
          <w:szCs w:val="24"/>
        </w:rPr>
        <w:t>1.3</w:t>
      </w:r>
      <w:r>
        <w:rPr>
          <w:rStyle w:val="17"/>
          <w:rFonts w:hint="eastAsia" w:ascii="仿宋" w:hAnsi="仿宋" w:eastAsia="仿宋"/>
          <w:sz w:val="24"/>
          <w:szCs w:val="24"/>
        </w:rPr>
        <w:t>、项目专门联系人员</w:t>
      </w:r>
      <w:r>
        <w:rPr>
          <w:rFonts w:hint="eastAsia" w:ascii="仿宋" w:hAnsi="仿宋" w:eastAsia="仿宋"/>
          <w:sz w:val="24"/>
        </w:rPr>
        <w:t>1</w:t>
      </w:r>
      <w:r>
        <w:rPr>
          <w:rStyle w:val="17"/>
          <w:rFonts w:hint="eastAsia" w:ascii="仿宋" w:hAnsi="仿宋" w:eastAsia="仿宋"/>
          <w:sz w:val="24"/>
          <w:szCs w:val="24"/>
        </w:rPr>
        <w:t>人，至少</w:t>
      </w:r>
      <w:r>
        <w:rPr>
          <w:rFonts w:hint="eastAsia" w:ascii="仿宋" w:hAnsi="仿宋" w:eastAsia="仿宋"/>
          <w:sz w:val="24"/>
        </w:rPr>
        <w:t>3</w:t>
      </w:r>
      <w:r>
        <w:rPr>
          <w:rStyle w:val="17"/>
          <w:rFonts w:hint="eastAsia" w:ascii="仿宋" w:hAnsi="仿宋" w:eastAsia="仿宋"/>
          <w:sz w:val="24"/>
          <w:szCs w:val="24"/>
        </w:rPr>
        <w:t>人为技术人员，具备同类项目经验，定期向采购方汇报项目进度情况，提供联系人员电话及邮箱。</w:t>
      </w:r>
    </w:p>
    <w:p>
      <w:pPr>
        <w:spacing w:line="360" w:lineRule="auto"/>
        <w:contextualSpacing/>
        <w:rPr>
          <w:rFonts w:ascii="仿宋" w:hAnsi="仿宋" w:eastAsia="仿宋"/>
          <w:sz w:val="24"/>
        </w:rPr>
      </w:pPr>
      <w:r>
        <w:rPr>
          <w:rFonts w:hint="eastAsia" w:ascii="仿宋" w:hAnsi="仿宋" w:eastAsia="仿宋"/>
          <w:sz w:val="24"/>
        </w:rPr>
        <w:t>2、调查问卷录入服务其他相关要求</w:t>
      </w:r>
    </w:p>
    <w:p>
      <w:pPr>
        <w:spacing w:line="360" w:lineRule="auto"/>
        <w:contextualSpacing/>
        <w:rPr>
          <w:rFonts w:ascii="仿宋" w:hAnsi="仿宋" w:eastAsia="仿宋"/>
          <w:sz w:val="24"/>
        </w:rPr>
      </w:pPr>
      <w:r>
        <w:rPr>
          <w:rFonts w:hint="eastAsia" w:ascii="仿宋" w:hAnsi="仿宋" w:eastAsia="仿宋"/>
          <w:sz w:val="24"/>
        </w:rPr>
        <w:t>（1）服务周期：根据问卷数量，通常1000份以内应在5个工作日内完成录入及质控。</w:t>
      </w:r>
    </w:p>
    <w:p>
      <w:pPr>
        <w:spacing w:line="360" w:lineRule="auto"/>
        <w:contextualSpacing/>
        <w:rPr>
          <w:rFonts w:ascii="仿宋" w:hAnsi="仿宋" w:eastAsia="仿宋"/>
          <w:sz w:val="24"/>
        </w:rPr>
      </w:pPr>
      <w:r>
        <w:rPr>
          <w:rFonts w:hint="eastAsia" w:ascii="仿宋" w:hAnsi="仿宋" w:eastAsia="仿宋"/>
          <w:sz w:val="24"/>
        </w:rPr>
        <w:t>（2）交付方式：电子数据文件（Excel格式）；提供变量字典及录入说明文档。</w:t>
      </w:r>
    </w:p>
    <w:p>
      <w:pPr>
        <w:spacing w:line="360" w:lineRule="auto"/>
        <w:contextualSpacing/>
        <w:rPr>
          <w:rFonts w:ascii="仿宋" w:hAnsi="仿宋" w:eastAsia="仿宋"/>
          <w:sz w:val="24"/>
        </w:rPr>
      </w:pPr>
      <w:r>
        <w:rPr>
          <w:rFonts w:hint="eastAsia" w:ascii="仿宋" w:hAnsi="仿宋" w:eastAsia="仿宋"/>
          <w:sz w:val="24"/>
        </w:rPr>
        <w:t>（3）售后服务：提供至少一次免费修改或核对服务。</w:t>
      </w:r>
    </w:p>
    <w:p>
      <w:pPr>
        <w:spacing w:line="360" w:lineRule="auto"/>
        <w:contextualSpacing/>
        <w:rPr>
          <w:rFonts w:ascii="仿宋" w:hAnsi="仿宋" w:eastAsia="仿宋"/>
          <w:sz w:val="24"/>
        </w:rPr>
      </w:pPr>
      <w:r>
        <w:rPr>
          <w:rFonts w:hint="eastAsia" w:ascii="仿宋" w:hAnsi="仿宋" w:eastAsia="仿宋"/>
          <w:sz w:val="24"/>
        </w:rPr>
        <w:t>3、BRIEF-P问卷其他相关要求</w:t>
      </w:r>
    </w:p>
    <w:p>
      <w:pPr>
        <w:spacing w:line="360" w:lineRule="auto"/>
        <w:contextualSpacing/>
        <w:rPr>
          <w:rFonts w:ascii="仿宋" w:hAnsi="仿宋" w:eastAsia="仿宋"/>
          <w:sz w:val="24"/>
        </w:rPr>
      </w:pPr>
      <w:r>
        <w:rPr>
          <w:rFonts w:hint="eastAsia" w:ascii="仿宋" w:hAnsi="仿宋" w:eastAsia="仿宋"/>
          <w:sz w:val="24"/>
        </w:rPr>
        <w:t>（1）服务内容：提供使用手册、测评说明；包含评分工具或结果报告模板；可选专业人员培训服务。</w:t>
      </w:r>
    </w:p>
    <w:p>
      <w:pPr>
        <w:spacing w:line="360" w:lineRule="auto"/>
        <w:contextualSpacing/>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服务周期：从合同签订时起，至调查完成后</w:t>
      </w:r>
      <w:r>
        <w:rPr>
          <w:rFonts w:ascii="仿宋" w:hAnsi="仿宋" w:eastAsia="仿宋"/>
          <w:sz w:val="24"/>
        </w:rPr>
        <w:t>30</w:t>
      </w:r>
      <w:r>
        <w:rPr>
          <w:rFonts w:hint="eastAsia" w:ascii="仿宋" w:hAnsi="仿宋" w:eastAsia="仿宋"/>
          <w:sz w:val="24"/>
        </w:rPr>
        <w:t>个工作日内。</w:t>
      </w:r>
    </w:p>
    <w:p>
      <w:pPr>
        <w:spacing w:line="360" w:lineRule="auto"/>
        <w:contextualSpacing/>
        <w:rPr>
          <w:rFonts w:ascii="仿宋" w:hAnsi="仿宋" w:eastAsia="仿宋"/>
          <w:sz w:val="24"/>
        </w:rPr>
      </w:pPr>
      <w:r>
        <w:rPr>
          <w:rFonts w:hint="eastAsia" w:ascii="仿宋" w:hAnsi="仿宋" w:eastAsia="仿宋"/>
          <w:sz w:val="24"/>
        </w:rPr>
        <w:t xml:space="preserve">（3）交付方式： </w:t>
      </w:r>
    </w:p>
    <w:p>
      <w:pPr>
        <w:spacing w:line="360" w:lineRule="auto"/>
        <w:contextualSpacing/>
        <w:rPr>
          <w:rFonts w:ascii="仿宋" w:hAnsi="仿宋" w:eastAsia="仿宋"/>
          <w:sz w:val="24"/>
        </w:rPr>
      </w:pPr>
      <w:r>
        <w:rPr>
          <w:rFonts w:hint="eastAsia" w:ascii="仿宋" w:hAnsi="仿宋" w:eastAsia="仿宋"/>
          <w:sz w:val="24"/>
        </w:rPr>
        <w:t>（4）售后支持：提供技术支持服务；协助评分及解释结果；可提供培训材料或在线咨询服务。</w:t>
      </w:r>
    </w:p>
    <w:p>
      <w:pPr>
        <w:spacing w:line="360" w:lineRule="auto"/>
        <w:contextualSpacing/>
        <w:rPr>
          <w:rFonts w:ascii="仿宋" w:hAnsi="仿宋" w:eastAsia="仿宋"/>
          <w:sz w:val="24"/>
        </w:rPr>
      </w:pPr>
      <w:r>
        <w:rPr>
          <w:rFonts w:hint="eastAsia" w:ascii="仿宋" w:hAnsi="仿宋" w:eastAsia="仿宋"/>
          <w:sz w:val="24"/>
        </w:rPr>
        <w:t>4、ASQ问卷其他相关要求</w:t>
      </w:r>
    </w:p>
    <w:p>
      <w:pPr>
        <w:spacing w:line="360" w:lineRule="auto"/>
        <w:contextualSpacing/>
        <w:rPr>
          <w:rFonts w:ascii="仿宋" w:hAnsi="仿宋" w:eastAsia="仿宋"/>
          <w:sz w:val="24"/>
        </w:rPr>
      </w:pPr>
      <w:r>
        <w:rPr>
          <w:rFonts w:hint="eastAsia" w:ascii="仿宋" w:hAnsi="仿宋" w:eastAsia="仿宋"/>
          <w:sz w:val="24"/>
        </w:rPr>
        <w:t>（1）提供网络在线筛查系统，可在线出具筛查报告，准确、方便、快捷。评估原始分与常模分数（问题临界点）的对比由计算机程序自动完成，并即时生成评估报告，易于操作。</w:t>
      </w:r>
    </w:p>
    <w:p>
      <w:pPr>
        <w:spacing w:line="360" w:lineRule="auto"/>
        <w:contextualSpacing/>
        <w:rPr>
          <w:rFonts w:ascii="仿宋" w:hAnsi="仿宋" w:eastAsia="仿宋"/>
          <w:sz w:val="24"/>
        </w:rPr>
      </w:pPr>
      <w:r>
        <w:rPr>
          <w:rFonts w:hint="eastAsia" w:ascii="仿宋" w:hAnsi="仿宋" w:eastAsia="仿宋"/>
          <w:sz w:val="24"/>
        </w:rPr>
        <w:t>（2）测试一和测试二均要求提供定性评价结果，包括“高于界值、接近界值和低于界值”。</w:t>
      </w:r>
    </w:p>
    <w:p>
      <w:pPr>
        <w:spacing w:line="360" w:lineRule="auto"/>
        <w:contextualSpacing/>
        <w:rPr>
          <w:rFonts w:ascii="仿宋" w:hAnsi="仿宋" w:eastAsia="仿宋"/>
          <w:sz w:val="24"/>
        </w:rPr>
      </w:pPr>
      <w:r>
        <w:rPr>
          <w:rFonts w:hint="eastAsia" w:ascii="仿宋" w:hAnsi="仿宋" w:eastAsia="仿宋"/>
          <w:sz w:val="24"/>
        </w:rPr>
        <w:t>（3）根据评估结果，除共性指导外，需依照儿童发育偏离针对性的指导方案，方便家长正确的引导和矫正婴幼儿可能出现的发育迟缓现象。测试二筛查后提供，包括儿童社会-情绪行为发展指南、儿童社会-情绪游戏活动列表，以及《ASQ:SE-2学习活动及其延伸》。</w:t>
      </w:r>
    </w:p>
    <w:p>
      <w:pPr>
        <w:spacing w:line="360" w:lineRule="auto"/>
        <w:contextualSpacing/>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）服务周期：从合同签订时起，至调查完成后</w:t>
      </w:r>
      <w:r>
        <w:rPr>
          <w:rFonts w:ascii="仿宋" w:hAnsi="仿宋" w:eastAsia="仿宋"/>
          <w:sz w:val="24"/>
        </w:rPr>
        <w:t>30</w:t>
      </w:r>
      <w:r>
        <w:rPr>
          <w:rFonts w:hint="eastAsia" w:ascii="仿宋" w:hAnsi="仿宋" w:eastAsia="仿宋"/>
          <w:sz w:val="24"/>
        </w:rPr>
        <w:t>个工作日内。</w:t>
      </w:r>
    </w:p>
    <w:p>
      <w:pPr>
        <w:spacing w:line="360" w:lineRule="auto"/>
        <w:contextualSpacing/>
        <w:rPr>
          <w:rFonts w:ascii="仿宋" w:hAnsi="仿宋" w:eastAsia="仿宋"/>
          <w:sz w:val="24"/>
        </w:rPr>
      </w:pPr>
      <w:r>
        <w:rPr>
          <w:rFonts w:hint="eastAsia" w:ascii="仿宋" w:hAnsi="仿宋" w:eastAsia="仿宋"/>
          <w:sz w:val="24"/>
        </w:rPr>
        <w:t xml:space="preserve">5、儿童功能近红外成像（fNIRS）检测其他相关要求 </w:t>
      </w:r>
    </w:p>
    <w:p>
      <w:pPr>
        <w:spacing w:line="360" w:lineRule="auto"/>
        <w:contextualSpacing/>
        <w:rPr>
          <w:rFonts w:ascii="仿宋" w:hAnsi="仿宋" w:eastAsia="仿宋"/>
          <w:sz w:val="24"/>
        </w:rPr>
      </w:pPr>
      <w:r>
        <w:rPr>
          <w:rFonts w:hint="eastAsia" w:ascii="仿宋" w:hAnsi="仿宋" w:eastAsia="仿宋"/>
          <w:sz w:val="24"/>
        </w:rPr>
        <w:t>（1）租赁</w:t>
      </w:r>
      <w:r>
        <w:rPr>
          <w:rFonts w:ascii="仿宋" w:hAnsi="仿宋" w:eastAsia="仿宋"/>
          <w:sz w:val="24"/>
        </w:rPr>
        <w:t>1台设备，</w:t>
      </w:r>
      <w:r>
        <w:rPr>
          <w:rFonts w:hint="eastAsia" w:ascii="仿宋" w:hAnsi="仿宋" w:eastAsia="仿宋"/>
          <w:sz w:val="24"/>
        </w:rPr>
        <w:t>在租赁期内提供整机原厂质保，设备交付前经性能检测合格，确保核心指标（采样率、信噪比）符合技术标准。探头等耗材非人为损坏免费更换。</w:t>
      </w:r>
    </w:p>
    <w:p>
      <w:pPr>
        <w:spacing w:line="360" w:lineRule="auto"/>
        <w:contextualSpacing/>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）服务周期：</w:t>
      </w:r>
      <w:r>
        <w:rPr>
          <w:rFonts w:ascii="仿宋" w:hAnsi="仿宋" w:eastAsia="仿宋"/>
          <w:sz w:val="24"/>
        </w:rPr>
        <w:t>3</w:t>
      </w:r>
      <w:r>
        <w:rPr>
          <w:rFonts w:hint="eastAsia" w:ascii="仿宋" w:hAnsi="仿宋" w:eastAsia="仿宋"/>
          <w:sz w:val="24"/>
        </w:rPr>
        <w:t>个月租赁期。</w:t>
      </w:r>
    </w:p>
    <w:p>
      <w:pPr>
        <w:spacing w:line="360" w:lineRule="auto"/>
        <w:contextualSpacing/>
        <w:rPr>
          <w:rFonts w:ascii="仿宋" w:hAnsi="仿宋" w:eastAsia="仿宋"/>
          <w:sz w:val="24"/>
        </w:rPr>
      </w:pPr>
      <w:r>
        <w:rPr>
          <w:rFonts w:hint="eastAsia" w:ascii="仿宋" w:hAnsi="仿宋" w:eastAsia="仿宋"/>
          <w:sz w:val="24"/>
        </w:rPr>
        <w:t>（3）售后服务：</w:t>
      </w:r>
    </w:p>
    <w:p>
      <w:pPr>
        <w:spacing w:line="360" w:lineRule="auto"/>
        <w:contextualSpacing/>
        <w:rPr>
          <w:rFonts w:ascii="仿宋" w:hAnsi="仿宋" w:eastAsia="仿宋"/>
          <w:sz w:val="24"/>
        </w:rPr>
      </w:pPr>
      <w:r>
        <w:rPr>
          <w:rFonts w:hint="eastAsia" w:ascii="仿宋" w:hAnsi="仿宋" w:eastAsia="仿宋"/>
          <w:sz w:val="24"/>
        </w:rPr>
        <w:t xml:space="preserve">a)快速响应：故障4小时内提供解决方案，48小时未修复免费提供备用机；  </w:t>
      </w:r>
    </w:p>
    <w:p>
      <w:pPr>
        <w:spacing w:line="360" w:lineRule="auto"/>
        <w:contextualSpacing/>
        <w:rPr>
          <w:rFonts w:ascii="仿宋" w:hAnsi="仿宋" w:eastAsia="仿宋"/>
          <w:sz w:val="24"/>
        </w:rPr>
      </w:pPr>
      <w:r>
        <w:rPr>
          <w:rFonts w:hint="eastAsia" w:ascii="仿宋" w:hAnsi="仿宋" w:eastAsia="仿宋"/>
          <w:sz w:val="24"/>
        </w:rPr>
        <w:t xml:space="preserve">b)定期维护：每季度主动上门校准设备；  </w:t>
      </w:r>
    </w:p>
    <w:p>
      <w:pPr>
        <w:spacing w:line="360" w:lineRule="auto"/>
        <w:contextualSpacing/>
        <w:rPr>
          <w:rFonts w:ascii="仿宋" w:hAnsi="仿宋" w:eastAsia="仿宋"/>
          <w:sz w:val="24"/>
        </w:rPr>
      </w:pPr>
      <w:r>
        <w:rPr>
          <w:rFonts w:hint="eastAsia" w:ascii="仿宋" w:hAnsi="仿宋" w:eastAsia="仿宋"/>
          <w:sz w:val="24"/>
        </w:rPr>
        <w:t>c)责任明晰：因设备质量问题导致的停机，按停机时长抵扣租金。</w:t>
      </w:r>
    </w:p>
    <w:p>
      <w:pPr>
        <w:spacing w:line="360" w:lineRule="auto"/>
        <w:contextualSpacing/>
        <w:rPr>
          <w:rFonts w:ascii="仿宋" w:hAnsi="仿宋" w:eastAsia="仿宋"/>
          <w:sz w:val="24"/>
        </w:rPr>
      </w:pPr>
      <w:r>
        <w:rPr>
          <w:rFonts w:hint="eastAsia" w:ascii="仿宋" w:hAnsi="仿宋" w:eastAsia="仿宋"/>
          <w:sz w:val="24"/>
        </w:rPr>
        <w:t>6、污染物暴露指标检测其他相关要求</w:t>
      </w:r>
    </w:p>
    <w:p>
      <w:pPr>
        <w:spacing w:line="360" w:lineRule="auto"/>
        <w:contextualSpacing/>
        <w:rPr>
          <w:rFonts w:ascii="仿宋" w:hAnsi="仿宋" w:eastAsia="仿宋"/>
          <w:sz w:val="24"/>
        </w:rPr>
      </w:pPr>
      <w:r>
        <w:rPr>
          <w:rFonts w:hint="eastAsia" w:ascii="仿宋" w:hAnsi="仿宋" w:eastAsia="仿宋"/>
          <w:sz w:val="24"/>
        </w:rPr>
        <w:t>（1）在收到标本后</w:t>
      </w:r>
      <w:r>
        <w:rPr>
          <w:rFonts w:ascii="仿宋" w:hAnsi="仿宋" w:eastAsia="仿宋"/>
          <w:sz w:val="24"/>
        </w:rPr>
        <w:t>30个</w:t>
      </w:r>
      <w:r>
        <w:rPr>
          <w:rFonts w:hint="eastAsia" w:ascii="仿宋" w:hAnsi="仿宋" w:eastAsia="仿宋"/>
          <w:sz w:val="24"/>
        </w:rPr>
        <w:t>工作日完成全部实验检测并交付完整的实验报告。质控在标准参考值范围内，批内精密度、批间精密度CV均小于15%。</w:t>
      </w:r>
    </w:p>
    <w:p>
      <w:pPr>
        <w:spacing w:line="360" w:lineRule="auto"/>
        <w:contextualSpacing/>
        <w:rPr>
          <w:rFonts w:ascii="仿宋" w:hAnsi="仿宋" w:eastAsia="仿宋"/>
          <w:sz w:val="24"/>
        </w:rPr>
      </w:pPr>
      <w:r>
        <w:rPr>
          <w:rFonts w:hint="eastAsia" w:ascii="仿宋" w:hAnsi="仿宋" w:eastAsia="仿宋"/>
          <w:sz w:val="24"/>
        </w:rPr>
        <w:t>（2）售后服务工作和提供技术保障：</w:t>
      </w:r>
    </w:p>
    <w:p>
      <w:pPr>
        <w:spacing w:line="360" w:lineRule="auto"/>
        <w:contextualSpacing/>
        <w:rPr>
          <w:rFonts w:ascii="仿宋" w:hAnsi="仿宋" w:eastAsia="仿宋"/>
          <w:sz w:val="24"/>
        </w:rPr>
      </w:pPr>
      <w:r>
        <w:rPr>
          <w:rFonts w:hint="eastAsia" w:ascii="仿宋" w:hAnsi="仿宋" w:eastAsia="仿宋"/>
          <w:sz w:val="24"/>
        </w:rPr>
        <w:t>a)向采购人提供各种与服务相关的免费技术咨询服务，包括电话、邮件等方式。以最快速度做出反应，提供解决方案。</w:t>
      </w:r>
    </w:p>
    <w:p>
      <w:pPr>
        <w:spacing w:line="360" w:lineRule="auto"/>
        <w:contextualSpacing/>
        <w:rPr>
          <w:b w:val="0"/>
          <w:szCs w:val="24"/>
        </w:rPr>
        <w:sectPr>
          <w:headerReference r:id="rId6" w:type="default"/>
          <w:footerReference r:id="rId7" w:type="default"/>
          <w:footerReference r:id="rId8" w:type="even"/>
          <w:pgSz w:w="11907" w:h="16840"/>
          <w:pgMar w:top="1418" w:right="1134" w:bottom="1418" w:left="1701" w:header="851" w:footer="851" w:gutter="0"/>
          <w:cols w:space="720" w:num="1"/>
          <w:docGrid w:linePitch="462" w:charSpace="0"/>
        </w:sectPr>
      </w:pPr>
      <w:r>
        <w:rPr>
          <w:rFonts w:hint="eastAsia" w:ascii="仿宋" w:hAnsi="仿宋" w:eastAsia="仿宋"/>
          <w:sz w:val="24"/>
        </w:rPr>
        <w:t>b)通过3种方式保障技术后援支持：远程支持采用电话指导或远程登录、电子邮件等方式提供技术支持，其他无法迅速解决的问题应在一周内解决或提出明确解决方案。</w:t>
      </w:r>
      <w:bookmarkStart w:id="0" w:name="_GoBack"/>
      <w:bookmarkEnd w:id="0"/>
    </w:p>
    <w:p>
      <w:pPr>
        <w:autoSpaceDE/>
        <w:autoSpaceDN/>
        <w:rPr>
          <w:rFonts w:hint="default" w:ascii="Times New Roman" w:hAnsi="Times New Roman"/>
          <w:lang w:val="en-US" w:eastAsia="zh-CN"/>
        </w:rPr>
      </w:pPr>
    </w:p>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36</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87.5pt;margin-top:797.6pt;height:12pt;width:38.15pt;mso-position-horizontal-relative:page;mso-position-vertical-relative:page;z-index:-251654144;mso-width-relative:page;mso-height-relative:page;" filled="f" stroked="f" coordsize="21600,21600" o:gfxdata="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fulDPbAAAADgEAAA8AAAAAAAAAAQAgAAAAIgAAAGRycy9kb3ducmV2LnhtbFBL&#10;AQIUABQAAAAIAIdO4kBMX037ugEAAHEDAAAOAAAAAAAAAAEAIAAAACo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36</w:t>
                    </w:r>
                    <w:r>
                      <w:fldChar w:fldCharType="end"/>
                    </w:r>
                    <w:r>
                      <w:rPr>
                        <w:rFonts w:ascii="Times New Roman" w:hAnsi="Times New Roman"/>
                        <w:sz w:val="18"/>
                      </w:rPr>
                      <w:t xml:space="preserve"> —</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798.9pt;height:14pt;width:8pt;mso-position-horizontal-relative:page;mso-position-vertical-relative:page;z-index:-251653120;mso-width-relative:page;mso-height-relative:page;" filled="f" stroked="f" coordsize="21600,21600" o:gfxdata="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xGCfXAAAADQEAAA8AAAAAAAAAAQAgAAAAIgAAAGRycy9kb3ducmV2LnhtbFBLAQIUABQA&#10;AAAIAIdO4kDzPZSEuAEAAHEDAAAOAAAAAAAAAAEAIAAAACYBAABkcnMvZTJvRG9jLnhtbFBLBQYA&#10;AAAABgAGAFkBAABQBQAAAAA=&#10;">
              <v:fill on="f" focussize="0,0"/>
              <v:stroke on="f"/>
              <v:imagedata o:title=""/>
              <o:lock v:ext="edit" aspectratio="f"/>
              <v:textbox inset="0mm,0mm,0mm,0mm">
                <w:txbxContent>
                  <w:p>
                    <w:pPr>
                      <w:spacing w:line="280" w:lineRule="exact"/>
                      <w:ind w:left="20"/>
                      <w:jc w:val="left"/>
                      <w:rPr>
                        <w:rFonts w:ascii="宋体"/>
                        <w:sz w:val="24"/>
                      </w:rPr>
                    </w:pPr>
                    <w:r>
                      <w:rPr>
                        <w:rFonts w:ascii="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802.65pt;height:12pt;width:38.15pt;mso-position-horizontal-relative:page;mso-position-vertical-relative:page;z-index:-251652096;mso-width-relative:page;mso-height-relative:page;" filled="f" stroked="f" coordsize="21600,21600" o:gfxdata="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4MxnTaAAAADQEAAA8AAAAAAAAAAQAgAAAAIgAAAGRycy9kb3ducmV2LnhtbFBL&#10;AQIUABQAAAAIAIdO4kDnum9muwEAAHEDAAAOAAAAAAAAAAEAIAAAACk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71</w:t>
    </w:r>
    <w: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53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69.5pt;margin-top:47.6pt;height:0pt;width:456.4pt;mso-position-horizontal-relative:page;mso-position-vertical-relative:page;z-index:-251657216;mso-width-relative:page;mso-height-relative:page;" filled="f" stroked="t" coordsize="21600,21600" o:gfxdata="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n94NYAAAAKAQAADwAA&#10;AAAAAAABACAAAAAiAAAAZHJzL2Rvd25yZXYueG1sUEsBAhQAFAAAAAgAh07iQGM6ZNnfAQAAzwMA&#10;AA4AAAAAAAAAAQAgAAAAJQEAAGRycy9lMm9Eb2MueG1sUEsFBgAAAAAGAAYAWQEAAHYFA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pPr>
                            <w:spacing w:line="319" w:lineRule="exact"/>
                            <w:jc w:val="left"/>
                          </w:pPr>
                          <w:r>
                            <w:rPr>
                              <w:rFonts w:hint="eastAsia"/>
                            </w:rPr>
                            <w:t>招标</w:t>
                          </w:r>
                          <w:r>
                            <w:t>文件</w:t>
                          </w:r>
                        </w:p>
                      </w:txbxContent>
                    </wps:txbx>
                    <wps:bodyPr lIns="0" tIns="0" rIns="0" bIns="0" upright="1"/>
                  </wps:wsp>
                </a:graphicData>
              </a:graphic>
            </wp:anchor>
          </w:drawing>
        </mc:Choice>
        <mc:Fallback>
          <w:pict>
            <v:shape id="_x0000_s1026" o:spid="_x0000_s1026" o:spt="202" type="#_x0000_t202" style="position:absolute;left:0pt;margin-left:69.9pt;margin-top:29.3pt;height:15.95pt;width:44.15pt;mso-position-horizontal-relative:page;mso-position-vertical-relative:page;z-index:-251656192;mso-width-relative:page;mso-height-relative:page;" filled="f" stroked="f" coordsize="21600,21600" o:gfxdata="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3cFFtgAAAAJAQAADwAAAAAAAAABACAAAAAiAAAAZHJzL2Rvd25yZXYueG1sUEsBAhQA&#10;FAAAAAgAh07iQLj6UIe5AQAAcQMAAA4AAAAAAAAAAQAgAAAAJwEAAGRycy9lMm9Eb2MueG1sUEsF&#10;BgAAAAAGAAYAWQEAAFIFAAAAAA==&#10;">
              <v:fill on="f" focussize="0,0"/>
              <v:stroke on="f"/>
              <v:imagedata o:title=""/>
              <o:lock v:ext="edit" aspectratio="f"/>
              <v:textbox inset="0mm,0mm,0mm,0mm">
                <w:txbxContent>
                  <w:p>
                    <w:pPr>
                      <w:spacing w:line="319" w:lineRule="exact"/>
                      <w:jc w:val="left"/>
                    </w:pPr>
                    <w:r>
                      <w:rPr>
                        <w:rFonts w:hint="eastAsia"/>
                      </w:rPr>
                      <w:t>招标</w:t>
                    </w:r>
                    <w:r>
                      <w:t>文件</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pPr>
                            <w:spacing w:line="319" w:lineRule="exact"/>
                            <w:ind w:left="20"/>
                            <w:jc w:val="left"/>
                          </w:pPr>
                          <w:r>
                            <w:t>合同样本</w:t>
                          </w:r>
                        </w:p>
                      </w:txbxContent>
                    </wps:txbx>
                    <wps:bodyPr lIns="0" tIns="0" rIns="0" bIns="0" upright="1"/>
                  </wps:wsp>
                </a:graphicData>
              </a:graphic>
            </wp:anchor>
          </w:drawing>
        </mc:Choice>
        <mc:Fallback>
          <w:pict>
            <v:shape id="_x0000_s1026" o:spid="_x0000_s1026" o:spt="202" type="#_x0000_t202" style="position:absolute;left:0pt;margin-left:469pt;margin-top:29.3pt;height:15.95pt;width:44.05pt;mso-position-horizontal-relative:page;mso-position-vertical-relative:page;z-index:-251655168;mso-width-relative:page;mso-height-relative:page;" filled="f" stroked="f" coordsize="21600,21600" o:gfxdata="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Fq1R2QAAAAoBAAAPAAAAAAAAAAEAIAAAACIAAABkcnMvZG93bnJldi54bWxQSwEC&#10;FAAUAAAACACHTuJA0PhdbboBAABxAwAADgAAAAAAAAABACAAAAAoAQAAZHJzL2Uyb0RvYy54bWxQ&#10;SwUGAAAAAAYABgBZAQAAVAUAAAAA&#10;">
              <v:fill on="f" focussize="0,0"/>
              <v:stroke on="f"/>
              <v:imagedata o:title=""/>
              <o:lock v:ext="edit" aspectratio="f"/>
              <v:textbox inset="0mm,0mm,0mm,0mm">
                <w:txbxContent>
                  <w:p>
                    <w:pPr>
                      <w:spacing w:line="319" w:lineRule="exact"/>
                      <w:ind w:left="20"/>
                      <w:jc w:val="left"/>
                    </w:pPr>
                    <w:r>
                      <w:t>合同样本</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1762CC7"/>
    <w:rsid w:val="14A26D8F"/>
    <w:rsid w:val="1F9A2D26"/>
    <w:rsid w:val="286D6ABD"/>
    <w:rsid w:val="32430622"/>
    <w:rsid w:val="436C03B1"/>
    <w:rsid w:val="65A229A7"/>
    <w:rsid w:val="69FA0255"/>
    <w:rsid w:val="6A4F06EB"/>
    <w:rsid w:val="70B92C9A"/>
    <w:rsid w:val="73147C33"/>
    <w:rsid w:val="774638A7"/>
    <w:rsid w:val="78DE5897"/>
    <w:rsid w:val="7B2624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outlineLvl w:val="1"/>
    </w:pPr>
    <w:rPr>
      <w:rFonts w:ascii="Times New Roman" w:hAnsi="Times New Roman"/>
      <w:b/>
      <w:szCs w:val="52"/>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unhideWhenUsed/>
    <w:qFormat/>
    <w:uiPriority w:val="99"/>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Body Text Indent"/>
    <w:basedOn w:val="1"/>
    <w:qFormat/>
    <w:uiPriority w:val="99"/>
    <w:pPr>
      <w:spacing w:line="360" w:lineRule="auto"/>
      <w:ind w:firstLine="570"/>
    </w:pPr>
    <w:rPr>
      <w:sz w:val="24"/>
    </w:rPr>
  </w:style>
  <w:style w:type="paragraph" w:styleId="8">
    <w:name w:val="Plain Text"/>
    <w:basedOn w:val="1"/>
    <w:qFormat/>
    <w:uiPriority w:val="0"/>
    <w:rPr>
      <w:rFonts w:hint="eastAsia" w:ascii="宋体" w:hAnsi="Courier New"/>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7"/>
    <w:qFormat/>
    <w:uiPriority w:val="0"/>
    <w:pPr>
      <w:ind w:firstLine="0"/>
      <w:contextualSpacing/>
      <w:jc w:val="center"/>
    </w:pPr>
    <w:rPr>
      <w:rFonts w:ascii="仿宋" w:hAnsi="仿宋" w:eastAsia="仿宋"/>
      <w:b/>
      <w:szCs w:val="20"/>
    </w:rPr>
  </w:style>
  <w:style w:type="table" w:styleId="14">
    <w:name w:val="Table Grid"/>
    <w:basedOn w:val="13"/>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qFormat/>
    <w:uiPriority w:val="0"/>
  </w:style>
  <w:style w:type="character" w:styleId="17">
    <w:name w:val="annotation reference"/>
    <w:basedOn w:val="15"/>
    <w:qFormat/>
    <w:uiPriority w:val="99"/>
    <w:rPr>
      <w:sz w:val="21"/>
      <w:szCs w:val="21"/>
    </w:rPr>
  </w:style>
  <w:style w:type="paragraph" w:customStyle="1" w:styleId="18">
    <w:name w:val="SOW正文"/>
    <w:basedOn w:val="1"/>
    <w:qFormat/>
    <w:uiPriority w:val="0"/>
    <w:pPr>
      <w:snapToGrid w:val="0"/>
      <w:spacing w:before="120" w:line="400" w:lineRule="exact"/>
      <w:ind w:firstLine="425"/>
    </w:pPr>
    <w:rPr>
      <w:rFonts w:ascii="Times New Roman" w:hAnsi="Times New Roman"/>
      <w:sz w:val="24"/>
      <w:szCs w:val="20"/>
    </w:rPr>
  </w:style>
  <w:style w:type="paragraph" w:styleId="19">
    <w:name w:val="List Paragraph"/>
    <w:basedOn w:val="1"/>
    <w:qFormat/>
    <w:uiPriority w:val="34"/>
    <w:pPr>
      <w:ind w:firstLine="420" w:firstLineChars="200"/>
    </w:pPr>
    <w:rPr>
      <w:rFonts w:cs="Times New Roman"/>
      <w:szCs w:val="22"/>
    </w:rPr>
  </w:style>
  <w:style w:type="paragraph" w:customStyle="1" w:styleId="20">
    <w:name w:val="alt+z"/>
    <w:basedOn w:val="1"/>
    <w:qFormat/>
    <w:uiPriority w:val="0"/>
    <w:pPr>
      <w:spacing w:line="360" w:lineRule="auto"/>
      <w:ind w:firstLine="480" w:firstLineChars="200"/>
    </w:pPr>
    <w:rPr>
      <w:kern w:val="0"/>
      <w:sz w:val="24"/>
    </w:rPr>
  </w:style>
  <w:style w:type="table" w:customStyle="1" w:styleId="21">
    <w:name w:val="Table Normal"/>
    <w:unhideWhenUsed/>
    <w:qFormat/>
    <w:uiPriority w:val="0"/>
    <w:pPr>
      <w:widowControl w:val="0"/>
      <w:autoSpaceDE w:val="0"/>
      <w:autoSpaceDN w:val="0"/>
    </w:pPr>
    <w:rPr>
      <w:rFonts w:ascii="Times New Roman" w:hAnsi="Times New Roman" w:eastAsia="宋体" w:cs="Times New Roman"/>
      <w:sz w:val="22"/>
      <w:lang w:eastAsia="en-US"/>
    </w:rPr>
    <w:tblPr>
      <w:tblCellMar>
        <w:top w:w="0" w:type="dxa"/>
        <w:left w:w="0" w:type="dxa"/>
        <w:bottom w:w="0" w:type="dxa"/>
        <w:right w:w="0" w:type="dxa"/>
      </w:tblCellMar>
    </w:tblPr>
  </w:style>
  <w:style w:type="paragraph" w:customStyle="1" w:styleId="22">
    <w:name w:val="p0"/>
    <w:basedOn w:val="1"/>
    <w:qFormat/>
    <w:uiPriority w:val="0"/>
    <w:pPr>
      <w:widowControl/>
      <w:autoSpaceDE/>
      <w:autoSpaceDN/>
      <w:spacing w:line="240" w:lineRule="auto"/>
      <w:jc w:val="both"/>
    </w:pPr>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1763</Words>
  <Characters>1878</Characters>
  <Lines>0</Lines>
  <Paragraphs>0</Paragraphs>
  <TotalTime>0</TotalTime>
  <ScaleCrop>false</ScaleCrop>
  <LinksUpToDate>false</LinksUpToDate>
  <CharactersWithSpaces>1889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XXZX-HS-001</cp:lastModifiedBy>
  <dcterms:modified xsi:type="dcterms:W3CDTF">2025-08-05T04:06:52Z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y fmtid="{D5CDD505-2E9C-101B-9397-08002B2CF9AE}" pid="4" name="KSOTemplateDocerSaveRecord">
    <vt:lpwstr>eyJoZGlkIjoiNDc0NWI3NGU2MGE5NGYwOTU4NjdiNjNjNmU1M2FhOWQiLCJ1c2VySWQiOiIxMDE2MjcyODQzIn0=</vt:lpwstr>
  </property>
</Properties>
</file>