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before="156" w:beforeLines="50" w:line="360" w:lineRule="auto"/>
        <w:ind w:firstLine="0"/>
        <w:jc w:val="center"/>
        <w:rPr>
          <w:rFonts w:hint="default" w:ascii="仿宋" w:hAnsi="仿宋" w:eastAsia="仿宋"/>
          <w:b/>
          <w:bCs w:val="0"/>
          <w:sz w:val="36"/>
          <w:szCs w:val="36"/>
          <w:lang w:val="en-US" w:eastAsia="zh-CN"/>
        </w:rPr>
      </w:pPr>
      <w:r>
        <w:rPr>
          <w:rFonts w:hint="eastAsia" w:ascii="仿宋" w:hAnsi="仿宋" w:eastAsia="仿宋"/>
          <w:b/>
          <w:bCs w:val="0"/>
          <w:sz w:val="36"/>
          <w:szCs w:val="36"/>
          <w:lang w:val="en-US" w:eastAsia="zh-CN"/>
        </w:rPr>
        <w:t>首都儿童医学中心租赁研究生宿舍项目采购需求</w:t>
      </w:r>
    </w:p>
    <w:p>
      <w:pPr>
        <w:pStyle w:val="19"/>
        <w:tabs>
          <w:tab w:val="left" w:pos="7980"/>
        </w:tabs>
        <w:snapToGrid/>
        <w:spacing w:before="0" w:line="360" w:lineRule="auto"/>
        <w:ind w:firstLine="0"/>
        <w:contextualSpacing/>
        <w:rPr>
          <w:rFonts w:ascii="仿宋" w:hAnsi="仿宋" w:eastAsia="仿宋"/>
          <w:b/>
          <w:bCs/>
          <w:szCs w:val="24"/>
        </w:rPr>
      </w:pPr>
      <w:r>
        <w:rPr>
          <w:rFonts w:hint="eastAsia" w:ascii="仿宋" w:hAnsi="仿宋" w:eastAsia="仿宋"/>
          <w:b/>
          <w:bCs/>
          <w:szCs w:val="24"/>
        </w:rPr>
        <w:t>(一)采购</w:t>
      </w:r>
      <w:r>
        <w:rPr>
          <w:rFonts w:ascii="仿宋" w:hAnsi="仿宋" w:eastAsia="仿宋"/>
          <w:b/>
          <w:bCs/>
          <w:szCs w:val="24"/>
        </w:rPr>
        <w:t>标的需实现的功能或者目标：</w:t>
      </w:r>
    </w:p>
    <w:p>
      <w:pPr>
        <w:autoSpaceDE w:val="0"/>
        <w:autoSpaceDN w:val="0"/>
        <w:adjustRightInd w:val="0"/>
        <w:spacing w:line="360" w:lineRule="auto"/>
        <w:ind w:firstLine="480" w:firstLineChars="200"/>
        <w:contextualSpacing/>
        <w:rPr>
          <w:rFonts w:ascii="仿宋" w:hAnsi="仿宋" w:eastAsia="仿宋"/>
          <w:sz w:val="24"/>
        </w:rPr>
      </w:pPr>
      <w:r>
        <w:rPr>
          <w:rFonts w:hint="eastAsia" w:ascii="仿宋" w:hAnsi="仿宋" w:eastAsia="仿宋"/>
          <w:sz w:val="24"/>
        </w:rPr>
        <w:t>本次招标采购是为首都医科大学附属首都儿童医学中心租赁研究生宿舍，投标人应根据招标文件所提出的技术规格和服务要求以先进的技术、优良的服务和优惠的价格，充分显示自己的竞争实力。</w:t>
      </w:r>
    </w:p>
    <w:p>
      <w:pPr>
        <w:pStyle w:val="19"/>
        <w:snapToGrid/>
        <w:spacing w:before="0" w:line="360" w:lineRule="auto"/>
        <w:ind w:firstLine="0"/>
        <w:contextualSpacing/>
        <w:rPr>
          <w:rFonts w:ascii="仿宋" w:hAnsi="仿宋" w:eastAsia="仿宋"/>
          <w:b/>
          <w:bCs/>
          <w:szCs w:val="24"/>
        </w:rPr>
      </w:pPr>
      <w:r>
        <w:rPr>
          <w:rFonts w:ascii="仿宋" w:hAnsi="仿宋" w:eastAsia="仿宋"/>
          <w:b/>
          <w:bCs/>
          <w:szCs w:val="24"/>
        </w:rPr>
        <w:t>（二）为落实政府采购政策需满足的要求</w:t>
      </w:r>
    </w:p>
    <w:p>
      <w:pPr>
        <w:numPr>
          <w:ilvl w:val="0"/>
          <w:numId w:val="1"/>
        </w:numPr>
        <w:tabs>
          <w:tab w:val="left" w:pos="900"/>
        </w:tabs>
        <w:spacing w:line="360" w:lineRule="auto"/>
        <w:contextualSpacing/>
        <w:rPr>
          <w:rFonts w:ascii="仿宋" w:hAnsi="仿宋" w:eastAsia="仿宋"/>
          <w:sz w:val="24"/>
        </w:rPr>
      </w:pPr>
      <w:r>
        <w:rPr>
          <w:rFonts w:ascii="仿宋" w:hAnsi="仿宋" w:eastAsia="仿宋"/>
          <w:sz w:val="24"/>
        </w:rPr>
        <w:t>促进</w:t>
      </w:r>
      <w:r>
        <w:rPr>
          <w:rFonts w:hint="eastAsia" w:ascii="仿宋" w:hAnsi="仿宋" w:eastAsia="仿宋"/>
          <w:sz w:val="24"/>
        </w:rPr>
        <w:t>中小</w:t>
      </w:r>
      <w:r>
        <w:rPr>
          <w:rFonts w:ascii="仿宋" w:hAnsi="仿宋" w:eastAsia="仿宋"/>
          <w:sz w:val="24"/>
        </w:rPr>
        <w:t>企业发展政策：</w:t>
      </w:r>
      <w:r>
        <w:rPr>
          <w:rFonts w:hint="eastAsia" w:ascii="仿宋" w:hAnsi="仿宋" w:eastAsia="仿宋"/>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pStyle w:val="19"/>
        <w:numPr>
          <w:ilvl w:val="0"/>
          <w:numId w:val="1"/>
        </w:numPr>
        <w:snapToGrid/>
        <w:spacing w:before="0" w:line="360" w:lineRule="auto"/>
        <w:contextualSpacing/>
        <w:rPr>
          <w:rFonts w:ascii="仿宋" w:hAnsi="仿宋" w:eastAsia="仿宋"/>
          <w:szCs w:val="24"/>
        </w:rPr>
      </w:pPr>
      <w:r>
        <w:rPr>
          <w:rFonts w:ascii="仿宋" w:hAnsi="仿宋" w:eastAsia="仿宋"/>
          <w:szCs w:val="24"/>
        </w:rPr>
        <w:t>监狱企业扶持政策：</w:t>
      </w:r>
      <w:r>
        <w:rPr>
          <w:rFonts w:ascii="仿宋" w:hAnsi="仿宋" w:eastAsia="仿宋"/>
          <w:iCs/>
          <w:szCs w:val="24"/>
        </w:rPr>
        <w:t>投标人如为监狱企业将视同为小型或微型企业，</w:t>
      </w:r>
      <w:r>
        <w:rPr>
          <w:rFonts w:ascii="仿宋" w:hAnsi="仿宋" w:eastAsia="仿宋"/>
          <w:szCs w:val="24"/>
        </w:rPr>
        <w:t>且所投产品为小型或微型企业生产的，</w:t>
      </w:r>
      <w:r>
        <w:rPr>
          <w:rFonts w:ascii="仿宋" w:hAnsi="仿宋" w:eastAsia="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hAnsi="仿宋" w:eastAsia="仿宋"/>
          <w:szCs w:val="24"/>
        </w:rPr>
        <w:t>。</w:t>
      </w:r>
    </w:p>
    <w:p>
      <w:pPr>
        <w:pStyle w:val="19"/>
        <w:numPr>
          <w:ilvl w:val="0"/>
          <w:numId w:val="1"/>
        </w:numPr>
        <w:snapToGrid/>
        <w:spacing w:before="0" w:line="360" w:lineRule="auto"/>
        <w:contextualSpacing/>
        <w:rPr>
          <w:rFonts w:ascii="仿宋" w:hAnsi="仿宋" w:eastAsia="仿宋"/>
          <w:szCs w:val="24"/>
        </w:rPr>
      </w:pPr>
      <w:r>
        <w:rPr>
          <w:rFonts w:hint="eastAsia" w:ascii="仿宋" w:hAnsi="仿宋" w:eastAsia="仿宋"/>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numPr>
          <w:ilvl w:val="0"/>
          <w:numId w:val="1"/>
        </w:numPr>
        <w:tabs>
          <w:tab w:val="left" w:pos="900"/>
        </w:tabs>
        <w:spacing w:line="360" w:lineRule="auto"/>
        <w:contextualSpacing/>
        <w:rPr>
          <w:rFonts w:ascii="仿宋" w:hAnsi="仿宋" w:eastAsia="仿宋"/>
          <w:sz w:val="24"/>
        </w:rPr>
      </w:pPr>
      <w:r>
        <w:rPr>
          <w:rFonts w:hint="eastAsia" w:ascii="仿宋" w:hAnsi="仿宋" w:eastAsia="仿宋"/>
          <w:sz w:val="24"/>
        </w:rPr>
        <w:t>鼓励节能政策：投标人的</w:t>
      </w:r>
      <w:r>
        <w:rPr>
          <w:rFonts w:ascii="仿宋" w:hAnsi="仿宋" w:eastAsia="仿宋"/>
          <w:kern w:val="0"/>
          <w:sz w:val="24"/>
        </w:rPr>
        <w:t>投标产品</w:t>
      </w:r>
      <w:r>
        <w:rPr>
          <w:rFonts w:hint="eastAsia" w:ascii="仿宋" w:hAnsi="仿宋" w:eastAsia="仿宋"/>
          <w:kern w:val="0"/>
          <w:sz w:val="24"/>
        </w:rPr>
        <w:t>属于财政部、发展改革委公布的“节能产品政府采购品目清单”范围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认证机构出具的、处于有效期之内的节能产品认证证书。</w:t>
      </w:r>
      <w:r>
        <w:rPr>
          <w:rFonts w:hint="eastAsia" w:ascii="仿宋" w:hAnsi="仿宋" w:eastAsia="仿宋"/>
          <w:kern w:val="0"/>
          <w:sz w:val="24"/>
        </w:rPr>
        <w:t>国家确定的</w:t>
      </w:r>
      <w:r>
        <w:rPr>
          <w:rFonts w:hint="eastAsia" w:ascii="仿宋" w:hAnsi="仿宋" w:eastAsia="仿宋"/>
          <w:sz w:val="24"/>
        </w:rPr>
        <w:t>认证机构和节能产品获证产品信息可从市场监管总局组建的节能产品、环境标志产品认证结果信息发布平台或中国政府采购网（www.ccgp.gov.cn）建立的认证结果信息发布平台链接中查询下载。</w:t>
      </w:r>
    </w:p>
    <w:p>
      <w:pPr>
        <w:numPr>
          <w:ilvl w:val="0"/>
          <w:numId w:val="1"/>
        </w:numPr>
        <w:tabs>
          <w:tab w:val="left" w:pos="900"/>
        </w:tabs>
        <w:spacing w:line="360" w:lineRule="auto"/>
        <w:contextualSpacing/>
        <w:rPr>
          <w:rFonts w:ascii="仿宋" w:hAnsi="仿宋" w:eastAsia="仿宋"/>
          <w:sz w:val="24"/>
        </w:rPr>
      </w:pPr>
      <w:r>
        <w:rPr>
          <w:rFonts w:hint="eastAsia" w:ascii="仿宋" w:hAnsi="仿宋" w:eastAsia="仿宋"/>
          <w:sz w:val="24"/>
        </w:rPr>
        <w:t>鼓励环保政策：投标人的</w:t>
      </w:r>
      <w:r>
        <w:rPr>
          <w:rFonts w:ascii="仿宋" w:hAnsi="仿宋" w:eastAsia="仿宋"/>
          <w:kern w:val="0"/>
          <w:sz w:val="24"/>
        </w:rPr>
        <w:t>投标产品</w:t>
      </w:r>
      <w:r>
        <w:rPr>
          <w:rFonts w:hint="eastAsia" w:ascii="仿宋" w:hAnsi="仿宋" w:eastAsia="仿宋"/>
          <w:kern w:val="0"/>
          <w:sz w:val="24"/>
        </w:rPr>
        <w:t>属于财政部、生态环境部公布的“环境标志产品政府采购品目清单”范围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w:t>
      </w:r>
      <w:r>
        <w:rPr>
          <w:rFonts w:hint="eastAsia" w:ascii="仿宋" w:hAnsi="仿宋" w:eastAsia="仿宋"/>
          <w:kern w:val="0"/>
          <w:sz w:val="24"/>
        </w:rPr>
        <w:t>环境标志</w:t>
      </w:r>
      <w:r>
        <w:rPr>
          <w:rFonts w:hint="eastAsia" w:ascii="仿宋" w:hAnsi="仿宋" w:eastAsia="仿宋"/>
          <w:sz w:val="24"/>
        </w:rPr>
        <w:t>产品认证证书。</w:t>
      </w:r>
      <w:r>
        <w:rPr>
          <w:rFonts w:hint="eastAsia" w:ascii="仿宋" w:hAnsi="仿宋" w:eastAsia="仿宋"/>
          <w:kern w:val="0"/>
          <w:sz w:val="24"/>
        </w:rPr>
        <w:t>国家确定的</w:t>
      </w:r>
      <w:r>
        <w:rPr>
          <w:rFonts w:hint="eastAsia" w:ascii="仿宋" w:hAnsi="仿宋" w:eastAsia="仿宋"/>
          <w:sz w:val="24"/>
        </w:rPr>
        <w:t>认证机构和</w:t>
      </w:r>
      <w:r>
        <w:rPr>
          <w:rFonts w:hint="eastAsia" w:ascii="仿宋" w:hAnsi="仿宋" w:eastAsia="仿宋"/>
          <w:kern w:val="0"/>
          <w:sz w:val="24"/>
        </w:rPr>
        <w:t>环境标志</w:t>
      </w:r>
      <w:r>
        <w:rPr>
          <w:rFonts w:hint="eastAsia" w:ascii="仿宋" w:hAnsi="仿宋" w:eastAsia="仿宋"/>
          <w:sz w:val="24"/>
        </w:rPr>
        <w:t>产品获证产品信息可从市场监管总局组建的节能产品、环境标志产品认证结果信息发布平台或中国政府采购网（www.ccgp.gov.cn）建立的认证结果信息发布平台链接中查询下载。</w:t>
      </w:r>
    </w:p>
    <w:p>
      <w:pPr>
        <w:pStyle w:val="19"/>
        <w:snapToGrid/>
        <w:spacing w:before="0" w:line="360" w:lineRule="auto"/>
        <w:ind w:firstLine="0"/>
        <w:contextualSpacing/>
        <w:rPr>
          <w:rFonts w:ascii="仿宋" w:hAnsi="仿宋" w:eastAsia="仿宋"/>
          <w:b/>
          <w:szCs w:val="24"/>
        </w:rPr>
      </w:pPr>
      <w:r>
        <w:rPr>
          <w:rFonts w:hint="eastAsia" w:ascii="仿宋" w:hAnsi="仿宋" w:eastAsia="仿宋"/>
          <w:b/>
          <w:szCs w:val="24"/>
        </w:rPr>
        <w:t>二、</w:t>
      </w:r>
      <w:r>
        <w:rPr>
          <w:rFonts w:ascii="仿宋" w:hAnsi="仿宋" w:eastAsia="仿宋"/>
          <w:b/>
          <w:szCs w:val="24"/>
        </w:rPr>
        <w:t>采购标的需执行的国家相关标准、行业标准、地方标准或者其他标准、规范</w:t>
      </w:r>
    </w:p>
    <w:p>
      <w:pPr>
        <w:spacing w:line="360" w:lineRule="auto"/>
        <w:ind w:firstLine="480" w:firstLineChars="200"/>
        <w:rPr>
          <w:rFonts w:ascii="仿宋" w:hAnsi="仿宋" w:eastAsia="仿宋" w:cs="Arial"/>
          <w:sz w:val="24"/>
        </w:rPr>
      </w:pPr>
      <w:r>
        <w:rPr>
          <w:rFonts w:hint="eastAsia" w:ascii="仿宋" w:hAnsi="仿宋" w:eastAsia="仿宋"/>
          <w:sz w:val="24"/>
        </w:rPr>
        <w:t>采购标的需执行国家有关商品房屋验收标准。</w:t>
      </w:r>
    </w:p>
    <w:p>
      <w:pPr>
        <w:pStyle w:val="19"/>
        <w:snapToGrid/>
        <w:spacing w:before="0" w:line="360" w:lineRule="auto"/>
        <w:ind w:firstLine="0"/>
        <w:contextualSpacing/>
        <w:rPr>
          <w:rFonts w:ascii="仿宋" w:hAnsi="仿宋" w:eastAsia="仿宋"/>
          <w:b/>
          <w:szCs w:val="24"/>
        </w:rPr>
      </w:pPr>
      <w:r>
        <w:rPr>
          <w:rFonts w:hint="eastAsia" w:ascii="仿宋" w:hAnsi="仿宋" w:eastAsia="仿宋"/>
          <w:b/>
          <w:szCs w:val="24"/>
        </w:rPr>
        <w:t>三、采购标的的数量、采购项目交付或者实施的时间和地点</w:t>
      </w:r>
    </w:p>
    <w:p>
      <w:pPr>
        <w:pStyle w:val="19"/>
        <w:snapToGrid/>
        <w:spacing w:before="0" w:line="360" w:lineRule="auto"/>
        <w:ind w:left="-208" w:firstLine="0"/>
        <w:contextualSpacing/>
        <w:rPr>
          <w:rFonts w:ascii="仿宋" w:hAnsi="仿宋" w:eastAsia="仿宋"/>
          <w:b/>
          <w:szCs w:val="24"/>
        </w:rPr>
      </w:pPr>
      <w:r>
        <w:rPr>
          <w:rFonts w:hint="eastAsia" w:ascii="仿宋" w:hAnsi="仿宋" w:eastAsia="仿宋"/>
          <w:b/>
          <w:szCs w:val="24"/>
        </w:rPr>
        <w:t>（一）采购标的的数量</w:t>
      </w:r>
    </w:p>
    <w:tbl>
      <w:tblPr>
        <w:tblStyle w:val="15"/>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4034"/>
        <w:gridCol w:w="1984"/>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608" w:type="pct"/>
            <w:shd w:val="clear" w:color="auto" w:fill="auto"/>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包号</w:t>
            </w:r>
          </w:p>
        </w:tc>
        <w:tc>
          <w:tcPr>
            <w:tcW w:w="2366" w:type="pct"/>
            <w:shd w:val="clear" w:color="auto" w:fill="auto"/>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标的名称</w:t>
            </w:r>
          </w:p>
        </w:tc>
        <w:tc>
          <w:tcPr>
            <w:tcW w:w="1164" w:type="pct"/>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数量</w:t>
            </w:r>
          </w:p>
        </w:tc>
        <w:tc>
          <w:tcPr>
            <w:tcW w:w="862" w:type="pct"/>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8" w:type="pct"/>
            <w:shd w:val="clear" w:color="auto" w:fill="auto"/>
            <w:noWrap/>
            <w:vAlign w:val="center"/>
          </w:tcPr>
          <w:p>
            <w:pPr>
              <w:spacing w:line="360" w:lineRule="auto"/>
              <w:contextualSpacing/>
              <w:jc w:val="center"/>
              <w:rPr>
                <w:rFonts w:ascii="仿宋" w:hAnsi="仿宋" w:eastAsia="仿宋"/>
                <w:sz w:val="24"/>
              </w:rPr>
            </w:pPr>
            <w:r>
              <w:rPr>
                <w:rFonts w:hint="eastAsia" w:ascii="仿宋" w:hAnsi="仿宋" w:eastAsia="仿宋"/>
                <w:sz w:val="24"/>
              </w:rPr>
              <w:t>1</w:t>
            </w:r>
          </w:p>
        </w:tc>
        <w:tc>
          <w:tcPr>
            <w:tcW w:w="2366" w:type="pct"/>
            <w:shd w:val="clear" w:color="auto" w:fill="auto"/>
            <w:vAlign w:val="center"/>
          </w:tcPr>
          <w:p>
            <w:pPr>
              <w:spacing w:line="360" w:lineRule="auto"/>
              <w:contextualSpacing/>
              <w:jc w:val="center"/>
              <w:rPr>
                <w:rFonts w:ascii="仿宋" w:hAnsi="仿宋" w:eastAsia="仿宋"/>
                <w:sz w:val="24"/>
              </w:rPr>
            </w:pPr>
            <w:r>
              <w:rPr>
                <w:rFonts w:hint="eastAsia" w:ascii="仿宋" w:hAnsi="仿宋" w:eastAsia="仿宋"/>
                <w:sz w:val="24"/>
              </w:rPr>
              <w:t>首都儿童医学中心租赁研究生宿舍</w:t>
            </w:r>
          </w:p>
        </w:tc>
        <w:tc>
          <w:tcPr>
            <w:tcW w:w="1164" w:type="pct"/>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1项</w:t>
            </w:r>
          </w:p>
        </w:tc>
        <w:tc>
          <w:tcPr>
            <w:tcW w:w="862" w:type="pct"/>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否</w:t>
            </w:r>
          </w:p>
        </w:tc>
      </w:tr>
    </w:tbl>
    <w:p>
      <w:pPr>
        <w:pStyle w:val="19"/>
        <w:snapToGrid/>
        <w:spacing w:before="0" w:line="360" w:lineRule="auto"/>
        <w:ind w:left="-208" w:firstLine="0"/>
        <w:contextualSpacing/>
        <w:rPr>
          <w:rFonts w:ascii="仿宋" w:hAnsi="仿宋" w:eastAsia="仿宋"/>
          <w:b/>
          <w:szCs w:val="24"/>
        </w:rPr>
      </w:pPr>
      <w:r>
        <w:rPr>
          <w:rFonts w:hint="eastAsia" w:ascii="仿宋" w:hAnsi="仿宋" w:eastAsia="仿宋"/>
          <w:b/>
          <w:szCs w:val="24"/>
        </w:rPr>
        <w:t>（二）采购项目交付或者服务的时间和地点：</w:t>
      </w:r>
    </w:p>
    <w:p>
      <w:pPr>
        <w:tabs>
          <w:tab w:val="left" w:pos="900"/>
        </w:tabs>
        <w:spacing w:line="360" w:lineRule="auto"/>
        <w:contextualSpacing/>
        <w:rPr>
          <w:rFonts w:ascii="仿宋" w:hAnsi="仿宋" w:eastAsia="仿宋"/>
          <w:sz w:val="24"/>
          <w:u w:val="single"/>
        </w:rPr>
      </w:pPr>
      <w:r>
        <w:rPr>
          <w:rFonts w:ascii="仿宋" w:hAnsi="仿宋" w:eastAsia="仿宋" w:cs="宋体"/>
          <w:sz w:val="24"/>
        </w:rPr>
        <w:t>1</w:t>
      </w:r>
      <w:r>
        <w:rPr>
          <w:rFonts w:hint="eastAsia" w:ascii="仿宋" w:hAnsi="仿宋" w:eastAsia="仿宋" w:cs="宋体"/>
          <w:sz w:val="24"/>
        </w:rPr>
        <w:t>、</w:t>
      </w:r>
      <w:r>
        <w:rPr>
          <w:rFonts w:hint="eastAsia" w:ascii="仿宋" w:hAnsi="仿宋" w:eastAsia="仿宋"/>
          <w:sz w:val="24"/>
        </w:rPr>
        <w:t>服务时间：</w:t>
      </w:r>
      <w:r>
        <w:rPr>
          <w:rFonts w:hint="eastAsia" w:ascii="仿宋" w:hAnsi="仿宋" w:eastAsia="仿宋"/>
          <w:bCs/>
          <w:sz w:val="24"/>
        </w:rPr>
        <w:t>2025年8月1日至2025年7月31日</w:t>
      </w:r>
      <w:r>
        <w:rPr>
          <w:rFonts w:hint="eastAsia" w:ascii="仿宋" w:hAnsi="仿宋" w:eastAsia="仿宋"/>
          <w:sz w:val="24"/>
        </w:rPr>
        <w:t>。</w:t>
      </w:r>
    </w:p>
    <w:p>
      <w:pPr>
        <w:spacing w:line="360" w:lineRule="auto"/>
        <w:contextualSpacing/>
        <w:rPr>
          <w:rFonts w:ascii="仿宋" w:hAnsi="仿宋" w:eastAsia="仿宋"/>
          <w:sz w:val="24"/>
          <w:u w:val="single"/>
        </w:rPr>
      </w:pPr>
      <w:r>
        <w:rPr>
          <w:rFonts w:hint="eastAsia" w:ascii="仿宋" w:hAnsi="仿宋" w:eastAsia="仿宋" w:cs="宋体"/>
          <w:sz w:val="24"/>
        </w:rPr>
        <w:t>2、服务地点：首都医科大学附属首都儿童医学中心指定地点。</w:t>
      </w:r>
    </w:p>
    <w:p>
      <w:pPr>
        <w:pStyle w:val="19"/>
        <w:snapToGrid/>
        <w:spacing w:before="0" w:line="360" w:lineRule="auto"/>
        <w:ind w:firstLine="0"/>
        <w:contextualSpacing/>
        <w:rPr>
          <w:rFonts w:ascii="仿宋" w:hAnsi="仿宋" w:eastAsia="仿宋"/>
          <w:b/>
          <w:szCs w:val="24"/>
        </w:rPr>
      </w:pPr>
      <w:r>
        <w:rPr>
          <w:rFonts w:hint="eastAsia" w:ascii="仿宋" w:hAnsi="仿宋" w:eastAsia="仿宋"/>
          <w:b/>
          <w:szCs w:val="24"/>
        </w:rPr>
        <w:t>四、采购标的需满足的服务标准、期限、效率等要求</w:t>
      </w:r>
    </w:p>
    <w:p>
      <w:pPr>
        <w:tabs>
          <w:tab w:val="left" w:pos="900"/>
        </w:tabs>
        <w:spacing w:line="360" w:lineRule="auto"/>
        <w:contextualSpacing/>
        <w:rPr>
          <w:rFonts w:ascii="仿宋" w:hAnsi="仿宋" w:eastAsia="仿宋"/>
          <w:b/>
          <w:sz w:val="24"/>
        </w:rPr>
      </w:pPr>
      <w:r>
        <w:rPr>
          <w:rFonts w:hint="eastAsia" w:ascii="仿宋" w:hAnsi="仿宋" w:eastAsia="仿宋"/>
          <w:b/>
          <w:sz w:val="24"/>
        </w:rPr>
        <w:t>（一）采购标的需满足的服务标准、效率要求（以各包技术规格中要求为准，如技术规格中无要求，则以本款要求为准。）</w:t>
      </w:r>
    </w:p>
    <w:p>
      <w:pPr>
        <w:pStyle w:val="9"/>
        <w:rPr>
          <w:b/>
        </w:rPr>
      </w:pPr>
      <w:r>
        <w:t>详见七、采购招标的需满足的质量、安全、技术规格、物理特性等要求。</w:t>
      </w:r>
    </w:p>
    <w:p>
      <w:pPr>
        <w:tabs>
          <w:tab w:val="left" w:pos="900"/>
        </w:tabs>
        <w:spacing w:line="360" w:lineRule="auto"/>
        <w:contextualSpacing/>
        <w:rPr>
          <w:rFonts w:ascii="仿宋" w:hAnsi="仿宋" w:eastAsia="仿宋"/>
          <w:b/>
          <w:sz w:val="24"/>
        </w:rPr>
      </w:pPr>
      <w:r>
        <w:rPr>
          <w:rFonts w:hint="eastAsia" w:ascii="仿宋" w:hAnsi="仿宋" w:eastAsia="仿宋"/>
          <w:b/>
          <w:sz w:val="24"/>
        </w:rPr>
        <w:t>（二）采购标的需满足的服务期限要求</w:t>
      </w:r>
    </w:p>
    <w:p>
      <w:pPr>
        <w:tabs>
          <w:tab w:val="left" w:pos="900"/>
        </w:tabs>
        <w:spacing w:line="360" w:lineRule="auto"/>
        <w:contextualSpacing/>
        <w:rPr>
          <w:rFonts w:ascii="仿宋" w:hAnsi="仿宋" w:eastAsia="仿宋"/>
          <w:sz w:val="24"/>
        </w:rPr>
      </w:pPr>
      <w:r>
        <w:rPr>
          <w:rFonts w:hint="eastAsia" w:ascii="仿宋" w:hAnsi="仿宋" w:eastAsia="仿宋"/>
          <w:sz w:val="24"/>
        </w:rPr>
        <w:t>1.服务期限：</w:t>
      </w:r>
      <w:r>
        <w:rPr>
          <w:rFonts w:hint="eastAsia" w:ascii="仿宋" w:hAnsi="仿宋" w:eastAsia="仿宋"/>
          <w:bCs/>
          <w:sz w:val="24"/>
        </w:rPr>
        <w:t>2025年8月1日至2025年7月31日。</w:t>
      </w:r>
    </w:p>
    <w:p>
      <w:pPr>
        <w:pStyle w:val="19"/>
        <w:snapToGrid/>
        <w:spacing w:before="0" w:line="360" w:lineRule="auto"/>
        <w:ind w:firstLine="0"/>
        <w:contextualSpacing/>
        <w:rPr>
          <w:rFonts w:ascii="仿宋" w:hAnsi="仿宋" w:eastAsia="仿宋"/>
          <w:b/>
          <w:szCs w:val="24"/>
        </w:rPr>
      </w:pPr>
      <w:r>
        <w:rPr>
          <w:rFonts w:hint="eastAsia" w:ascii="仿宋" w:hAnsi="仿宋" w:eastAsia="仿宋"/>
          <w:b/>
          <w:szCs w:val="24"/>
        </w:rPr>
        <w:t>五、采购标的物验收标准</w:t>
      </w:r>
    </w:p>
    <w:p>
      <w:pPr>
        <w:tabs>
          <w:tab w:val="left" w:pos="900"/>
        </w:tabs>
        <w:spacing w:before="156" w:beforeLines="50" w:line="360" w:lineRule="auto"/>
        <w:ind w:firstLine="480" w:firstLineChars="200"/>
        <w:rPr>
          <w:rFonts w:ascii="仿宋" w:hAnsi="仿宋" w:eastAsia="仿宋"/>
          <w:bCs/>
          <w:sz w:val="24"/>
        </w:rPr>
      </w:pPr>
      <w:r>
        <w:rPr>
          <w:rFonts w:hint="eastAsia" w:ascii="仿宋" w:hAnsi="仿宋" w:eastAsia="仿宋"/>
          <w:bCs/>
          <w:sz w:val="24"/>
        </w:rPr>
        <w:t>1.取得房屋竣工验收文件；</w:t>
      </w:r>
    </w:p>
    <w:p>
      <w:pPr>
        <w:tabs>
          <w:tab w:val="left" w:pos="900"/>
        </w:tabs>
        <w:spacing w:before="156" w:beforeLines="50" w:line="360" w:lineRule="auto"/>
        <w:ind w:firstLine="480" w:firstLineChars="200"/>
        <w:rPr>
          <w:rFonts w:ascii="仿宋" w:hAnsi="仿宋" w:eastAsia="仿宋"/>
          <w:bCs/>
          <w:sz w:val="24"/>
        </w:rPr>
      </w:pPr>
      <w:r>
        <w:rPr>
          <w:rFonts w:hint="eastAsia" w:ascii="仿宋" w:hAnsi="仿宋" w:eastAsia="仿宋"/>
          <w:bCs/>
          <w:sz w:val="24"/>
        </w:rPr>
        <w:t>2.取得房屋消防验收文件；</w:t>
      </w:r>
    </w:p>
    <w:p>
      <w:pPr>
        <w:tabs>
          <w:tab w:val="left" w:pos="900"/>
        </w:tabs>
        <w:spacing w:before="156" w:beforeLines="50" w:line="360" w:lineRule="auto"/>
        <w:ind w:firstLine="480" w:firstLineChars="200"/>
        <w:rPr>
          <w:rFonts w:ascii="仿宋" w:hAnsi="仿宋" w:eastAsia="仿宋"/>
          <w:bCs/>
          <w:sz w:val="24"/>
        </w:rPr>
      </w:pPr>
      <w:r>
        <w:rPr>
          <w:rFonts w:hint="eastAsia" w:ascii="仿宋" w:hAnsi="仿宋" w:eastAsia="仿宋"/>
          <w:bCs/>
          <w:sz w:val="24"/>
        </w:rPr>
        <w:t>3.具备房屋允许居住文件；</w:t>
      </w:r>
    </w:p>
    <w:p>
      <w:pPr>
        <w:tabs>
          <w:tab w:val="left" w:pos="900"/>
        </w:tabs>
        <w:spacing w:before="156" w:beforeLines="50" w:line="360" w:lineRule="auto"/>
        <w:ind w:firstLine="480" w:firstLineChars="200"/>
        <w:rPr>
          <w:rFonts w:ascii="仿宋" w:hAnsi="仿宋" w:eastAsia="仿宋"/>
          <w:sz w:val="24"/>
        </w:rPr>
      </w:pPr>
      <w:r>
        <w:rPr>
          <w:rFonts w:hint="eastAsia" w:ascii="仿宋" w:hAnsi="仿宋" w:eastAsia="仿宋"/>
          <w:bCs/>
          <w:sz w:val="24"/>
        </w:rPr>
        <w:t>4.室内空气质量符合标准；</w:t>
      </w:r>
    </w:p>
    <w:p>
      <w:pPr>
        <w:tabs>
          <w:tab w:val="left" w:pos="900"/>
        </w:tabs>
        <w:spacing w:line="360" w:lineRule="auto"/>
        <w:contextualSpacing/>
        <w:rPr>
          <w:rFonts w:ascii="仿宋" w:hAnsi="仿宋" w:eastAsia="仿宋"/>
          <w:b/>
          <w:sz w:val="24"/>
        </w:rPr>
      </w:pPr>
      <w:r>
        <w:rPr>
          <w:rFonts w:hint="eastAsia" w:ascii="仿宋" w:hAnsi="仿宋" w:eastAsia="仿宋"/>
          <w:b/>
          <w:sz w:val="24"/>
        </w:rPr>
        <w:t>六、采购标的的其他技术、服务等要求</w:t>
      </w:r>
    </w:p>
    <w:p>
      <w:pPr>
        <w:pStyle w:val="14"/>
      </w:pPr>
      <w:r>
        <w:rPr>
          <w:rFonts w:hint="eastAsia"/>
        </w:rPr>
        <w:t>投标人需按照招标文件要求提供</w:t>
      </w:r>
      <w:r>
        <w:rPr>
          <w:rFonts w:hint="eastAsia" w:ascii="仿宋_GB2312" w:hAnsi="仿宋_GB2312" w:eastAsia="仿宋_GB2312" w:cs="仿宋_GB2312"/>
          <w:color w:val="FF0000"/>
        </w:rPr>
        <w:t>服务方案</w:t>
      </w:r>
      <w:r>
        <w:rPr>
          <w:rFonts w:hint="eastAsia"/>
          <w:color w:val="FF0000"/>
        </w:rPr>
        <w:t>、</w:t>
      </w:r>
      <w:r>
        <w:rPr>
          <w:rFonts w:hint="eastAsia" w:ascii="仿宋_GB2312" w:hAnsi="仿宋_GB2312" w:eastAsia="仿宋_GB2312" w:cs="仿宋_GB2312"/>
          <w:color w:val="FF0000"/>
        </w:rPr>
        <w:t>维保方案</w:t>
      </w:r>
      <w:r>
        <w:rPr>
          <w:rFonts w:hint="eastAsia"/>
          <w:color w:val="FF0000"/>
        </w:rPr>
        <w:t>、对房屋整体状况、交通便利性及周边配套情况、租赁房屋面积要求、房屋位置离医院的距离、保洁、安保措施、应急预案、项目亮点</w:t>
      </w:r>
      <w:r>
        <w:rPr>
          <w:rFonts w:hint="eastAsia"/>
        </w:rPr>
        <w:t>等。</w:t>
      </w:r>
    </w:p>
    <w:p>
      <w:pPr>
        <w:tabs>
          <w:tab w:val="left" w:pos="900"/>
        </w:tabs>
        <w:spacing w:line="360" w:lineRule="auto"/>
        <w:contextualSpacing/>
        <w:rPr>
          <w:rFonts w:ascii="仿宋" w:hAnsi="仿宋" w:eastAsia="仿宋"/>
          <w:b/>
          <w:sz w:val="24"/>
        </w:rPr>
      </w:pPr>
      <w:r>
        <w:rPr>
          <w:rFonts w:hint="eastAsia" w:ascii="仿宋" w:hAnsi="仿宋" w:eastAsia="仿宋"/>
          <w:b/>
          <w:sz w:val="24"/>
        </w:rPr>
        <w:t>七、采购标的需满足的质量、安全、技术规格、物理特性等要求：</w:t>
      </w:r>
    </w:p>
    <w:p>
      <w:pPr>
        <w:tabs>
          <w:tab w:val="left" w:pos="900"/>
        </w:tabs>
        <w:snapToGrid w:val="0"/>
        <w:spacing w:line="360" w:lineRule="auto"/>
        <w:jc w:val="center"/>
        <w:rPr>
          <w:rFonts w:ascii="宋体" w:hAnsi="宋体"/>
          <w:szCs w:val="21"/>
        </w:rPr>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ascii="宋体" w:hAnsi="宋体"/>
          <w:szCs w:val="21"/>
        </w:rPr>
        <w:br w:type="page"/>
      </w:r>
    </w:p>
    <w:p>
      <w:pPr>
        <w:tabs>
          <w:tab w:val="left" w:pos="900"/>
        </w:tabs>
        <w:spacing w:before="120" w:beforeLines="50" w:line="360" w:lineRule="auto"/>
        <w:jc w:val="center"/>
        <w:rPr>
          <w:rFonts w:ascii="仿宋" w:hAnsi="仿宋" w:eastAsia="仿宋"/>
          <w:b/>
          <w:sz w:val="24"/>
        </w:rPr>
      </w:pPr>
      <w:r>
        <w:rPr>
          <w:rFonts w:ascii="仿宋" w:hAnsi="仿宋" w:eastAsia="仿宋"/>
          <w:b/>
          <w:sz w:val="24"/>
        </w:rPr>
        <w:t>第</w:t>
      </w:r>
      <w:r>
        <w:rPr>
          <w:rFonts w:hint="eastAsia" w:ascii="仿宋" w:hAnsi="仿宋" w:eastAsia="仿宋"/>
          <w:b/>
          <w:sz w:val="24"/>
        </w:rPr>
        <w:t>1</w:t>
      </w:r>
      <w:r>
        <w:rPr>
          <w:rFonts w:ascii="仿宋" w:hAnsi="仿宋" w:eastAsia="仿宋"/>
          <w:b/>
          <w:sz w:val="24"/>
        </w:rPr>
        <w:t>包</w:t>
      </w:r>
      <w:r>
        <w:rPr>
          <w:rFonts w:hint="eastAsia" w:ascii="仿宋" w:hAnsi="仿宋" w:eastAsia="仿宋"/>
          <w:b/>
          <w:sz w:val="24"/>
        </w:rPr>
        <w:t xml:space="preserve"> 首都儿童医学中心租赁研究生宿舍</w:t>
      </w:r>
    </w:p>
    <w:p>
      <w:pPr>
        <w:spacing w:line="360" w:lineRule="auto"/>
        <w:contextualSpacing/>
        <w:rPr>
          <w:rFonts w:ascii="仿宋" w:hAnsi="仿宋" w:eastAsia="仿宋"/>
          <w:b/>
          <w:sz w:val="24"/>
        </w:rPr>
      </w:pPr>
      <w:r>
        <w:rPr>
          <w:rFonts w:ascii="仿宋" w:hAnsi="仿宋" w:eastAsia="仿宋"/>
          <w:b/>
          <w:sz w:val="24"/>
        </w:rPr>
        <w:t>一、技术要求</w:t>
      </w:r>
    </w:p>
    <w:p>
      <w:pPr>
        <w:pStyle w:val="14"/>
        <w:spacing w:after="0" w:line="360" w:lineRule="auto"/>
        <w:contextualSpacing/>
      </w:pPr>
      <w:r>
        <w:rPr>
          <w:rFonts w:hint="eastAsia"/>
        </w:rPr>
        <w:t>研究生宿舍概况:北京大学医学部（硕博）、北京协和医学院（硕博）和首都儿科研究所（硕士）三校在读研究生预计达214人，首都儿童医学中心按照承担培养的研究生比例（60.28%），所占房间总数约52间，6900元/月/间，12个月共计430.56万元。</w:t>
      </w:r>
    </w:p>
    <w:p>
      <w:pPr>
        <w:pStyle w:val="14"/>
        <w:spacing w:after="0" w:line="360" w:lineRule="auto"/>
        <w:contextualSpacing/>
      </w:pPr>
      <w:r>
        <w:rPr>
          <w:rFonts w:hint="eastAsia"/>
        </w:rPr>
        <w:t>住宿标准：博士：2人/间；硕士：3人/间；三人间约30平米，两人间约20平米，房屋设施完整，应配备冰箱、洗衣机、烘干机等生活家电，有专人管理，配备专业维修人员至少1人，及时解决房屋修缮问题，保洁人员1 人，保证公共区域卫生整洁。</w:t>
      </w:r>
    </w:p>
    <w:p>
      <w:pPr>
        <w:pStyle w:val="14"/>
        <w:spacing w:after="0" w:line="360" w:lineRule="auto"/>
        <w:ind w:firstLine="0" w:firstLineChars="0"/>
        <w:contextualSpacing/>
        <w:rPr>
          <w:b/>
        </w:rPr>
      </w:pPr>
      <w:r>
        <w:rPr>
          <w:rFonts w:hint="eastAsia"/>
          <w:b/>
        </w:rPr>
        <w:t>二、商务要求</w:t>
      </w:r>
    </w:p>
    <w:p>
      <w:pPr>
        <w:pStyle w:val="14"/>
        <w:spacing w:after="0" w:line="360" w:lineRule="auto"/>
        <w:ind w:firstLine="0" w:firstLineChars="0"/>
        <w:contextualSpacing/>
      </w:pPr>
      <w:r>
        <w:rPr>
          <w:rFonts w:hint="eastAsia"/>
        </w:rPr>
        <w:t>1、入住当天，投标人将该房屋按照本合同签订时的现状交付给采购人，由采购人进行验收，并办理相应的入住手续。若采购人验收时，现有的装修、附属设施或设备存在缺陷、影响采购人正常使用的，投标人应自交付之日起的3日内进行修复。</w:t>
      </w:r>
    </w:p>
    <w:p>
      <w:pPr>
        <w:pStyle w:val="14"/>
        <w:spacing w:after="0" w:line="360" w:lineRule="auto"/>
        <w:ind w:firstLine="0" w:firstLineChars="0"/>
        <w:contextualSpacing/>
      </w:pPr>
      <w:r>
        <w:rPr>
          <w:rFonts w:hint="eastAsia"/>
        </w:rPr>
        <w:t>2、房屋的维修</w:t>
      </w:r>
    </w:p>
    <w:p>
      <w:pPr>
        <w:pStyle w:val="14"/>
        <w:spacing w:after="0" w:line="360" w:lineRule="auto"/>
        <w:ind w:firstLine="0" w:firstLineChars="0"/>
        <w:contextualSpacing/>
      </w:pPr>
      <w:r>
        <w:rPr>
          <w:rFonts w:hint="eastAsia"/>
        </w:rPr>
        <w:t>2.1、使用期限内，投标人应定期对该公寓进行检查养护，保证该公寓及其附属设施、设备处于正常的可使用和安全的状态。投标人应在检查养护前7日通知采购人；检查养护时，投标人应尽量减少对采购人正常使用房屋的影响。</w:t>
      </w:r>
    </w:p>
    <w:p>
      <w:pPr>
        <w:pStyle w:val="14"/>
        <w:spacing w:after="0" w:line="360" w:lineRule="auto"/>
        <w:ind w:firstLine="0" w:firstLineChars="0"/>
        <w:contextualSpacing/>
      </w:pPr>
      <w:r>
        <w:rPr>
          <w:rFonts w:hint="eastAsia"/>
        </w:rPr>
        <w:t>2.2、若因房屋的维修、养护等原因造成该房屋在一段时间内不能使用的，投标人应免费帮助采购人换房。</w:t>
      </w:r>
    </w:p>
    <w:p>
      <w:pPr>
        <w:pStyle w:val="14"/>
        <w:spacing w:after="0" w:line="360" w:lineRule="auto"/>
        <w:ind w:firstLine="0" w:firstLineChars="0"/>
        <w:contextualSpacing/>
      </w:pPr>
      <w:r>
        <w:rPr>
          <w:rFonts w:hint="eastAsia"/>
        </w:rPr>
        <w:t>3、质量要求：按照采购人提出的技术要求，为采购人提供的房屋须能够满足住宿要求。</w:t>
      </w:r>
    </w:p>
    <w:p>
      <w:pPr>
        <w:pStyle w:val="14"/>
        <w:spacing w:after="0" w:line="360" w:lineRule="auto"/>
        <w:ind w:firstLine="0" w:firstLineChars="0"/>
        <w:contextualSpacing/>
      </w:pPr>
      <w:r>
        <w:rPr>
          <w:rFonts w:hint="eastAsia"/>
        </w:rPr>
        <w:t>4、安全要求：须有国家认可的房屋消防验收合格证及喷淋设施。首先是每个房间均配有烟感报警器，走廊及安全通道均按要求配备有数量相当的消防设施，如灭火器、安全出口指示灯，自然通风排烟房和机械排烟通风装置等，其次是有细化的消防安全管理规章制度，保障住宿安全要求。</w:t>
      </w:r>
    </w:p>
    <w:p>
      <w:pPr>
        <w:pStyle w:val="14"/>
        <w:spacing w:after="0" w:line="360" w:lineRule="auto"/>
        <w:ind w:firstLine="0" w:firstLineChars="0"/>
        <w:contextualSpacing/>
      </w:pPr>
      <w:r>
        <w:rPr>
          <w:rFonts w:hint="eastAsia"/>
        </w:rPr>
        <w:t>5、投标人须提供产权证书、宾馆营业证、房屋结构安全检测报告（近5年内）和消防及安防设备检测合格报告、环境监测合格报告。</w:t>
      </w:r>
    </w:p>
    <w:p>
      <w:pPr>
        <w:pStyle w:val="14"/>
        <w:spacing w:after="0" w:line="360" w:lineRule="auto"/>
        <w:ind w:firstLine="0" w:firstLineChars="0"/>
        <w:contextualSpacing/>
      </w:pPr>
      <w:r>
        <w:rPr>
          <w:rFonts w:hint="eastAsia"/>
        </w:rPr>
        <w:t>5、投标人须提供门禁系统，刷卡才能进入住宿区域；插卡式取电，人离拔卡断电。每个房间总电量不超1000W，超电量使用自动断电。</w:t>
      </w:r>
    </w:p>
    <w:p>
      <w:pPr>
        <w:pStyle w:val="14"/>
        <w:spacing w:after="0" w:line="360" w:lineRule="auto"/>
        <w:ind w:firstLine="0" w:firstLineChars="0"/>
        <w:contextualSpacing/>
      </w:pPr>
      <w:r>
        <w:rPr>
          <w:rFonts w:hint="eastAsia"/>
        </w:rPr>
        <w:t>6、所提供的房屋是相对独立的空间，且具有连续性，并满足消防等安全要求。</w:t>
      </w:r>
    </w:p>
    <w:p>
      <w:pPr>
        <w:pStyle w:val="14"/>
        <w:spacing w:after="0" w:line="360" w:lineRule="auto"/>
        <w:ind w:firstLine="0" w:firstLineChars="0"/>
        <w:contextualSpacing/>
      </w:pPr>
      <w:r>
        <w:rPr>
          <w:rFonts w:hint="eastAsia"/>
        </w:rPr>
        <w:t>7、房间须光线充足，同时通风良好，除供电、上下水、空调等公用设施能够满足正常住宿需要外，建筑物还需配置以下设施：</w:t>
      </w:r>
    </w:p>
    <w:p>
      <w:pPr>
        <w:pStyle w:val="14"/>
        <w:spacing w:after="0" w:line="360" w:lineRule="auto"/>
        <w:ind w:firstLine="0" w:firstLineChars="0"/>
        <w:contextualSpacing/>
      </w:pPr>
      <w:r>
        <w:rPr>
          <w:rFonts w:hint="eastAsia"/>
        </w:rPr>
        <w:t>7.1具有24小时电热水器淋浴设施；</w:t>
      </w:r>
    </w:p>
    <w:p>
      <w:pPr>
        <w:pStyle w:val="14"/>
        <w:spacing w:after="0" w:line="360" w:lineRule="auto"/>
        <w:ind w:firstLine="0" w:firstLineChars="0"/>
        <w:contextualSpacing/>
      </w:pPr>
      <w:r>
        <w:rPr>
          <w:rFonts w:hint="eastAsia"/>
        </w:rPr>
        <w:t>7.2房间中预设合理的电源插座和网口接口；</w:t>
      </w:r>
    </w:p>
    <w:p>
      <w:pPr>
        <w:pStyle w:val="14"/>
        <w:spacing w:after="0" w:line="360" w:lineRule="auto"/>
        <w:ind w:firstLine="0" w:firstLineChars="0"/>
        <w:contextualSpacing/>
      </w:pPr>
      <w:r>
        <w:rPr>
          <w:rFonts w:hint="eastAsia"/>
        </w:rPr>
        <w:t>7.3 窗户应加装窗帘，如为楼房窗户的开合度应达到安全要求；</w:t>
      </w:r>
    </w:p>
    <w:p>
      <w:pPr>
        <w:pStyle w:val="14"/>
        <w:spacing w:after="0" w:line="360" w:lineRule="auto"/>
        <w:ind w:firstLine="0" w:firstLineChars="0"/>
        <w:contextualSpacing/>
      </w:pPr>
      <w:r>
        <w:rPr>
          <w:rFonts w:hint="eastAsia"/>
        </w:rPr>
        <w:t>7.4 如为楼房，应具备电梯；</w:t>
      </w:r>
    </w:p>
    <w:p>
      <w:pPr>
        <w:pStyle w:val="14"/>
        <w:spacing w:after="0" w:line="360" w:lineRule="auto"/>
        <w:ind w:firstLine="0" w:firstLineChars="0"/>
        <w:contextualSpacing/>
      </w:pPr>
      <w:r>
        <w:rPr>
          <w:rFonts w:hint="eastAsia"/>
        </w:rPr>
        <w:t>7.5 如为楼房，应具有独立的计量水电表、单独计费。</w:t>
      </w:r>
    </w:p>
    <w:p>
      <w:pPr>
        <w:pStyle w:val="14"/>
        <w:spacing w:after="0" w:line="360" w:lineRule="auto"/>
        <w:ind w:firstLine="0" w:firstLineChars="0"/>
        <w:contextualSpacing/>
      </w:pPr>
      <w:r>
        <w:rPr>
          <w:rFonts w:hint="eastAsia"/>
        </w:rPr>
        <w:t>8、配备安防监控视频系统，并负责日常管理。发生不良事件时协助采购人协助查看监控视频录像。</w:t>
      </w:r>
    </w:p>
    <w:p>
      <w:pPr>
        <w:pStyle w:val="14"/>
        <w:spacing w:after="0" w:line="360" w:lineRule="auto"/>
        <w:ind w:firstLine="0" w:firstLineChars="0"/>
        <w:contextualSpacing/>
      </w:pPr>
      <w:r>
        <w:rPr>
          <w:rFonts w:hint="eastAsia"/>
        </w:rPr>
        <w:t>9、投标人负责对楼宇整体进行消防安全监控，纳入整体楼宇消防管理体系。</w:t>
      </w:r>
    </w:p>
    <w:p>
      <w:pPr>
        <w:pStyle w:val="14"/>
        <w:spacing w:after="0" w:line="360" w:lineRule="auto"/>
        <w:ind w:firstLine="0" w:firstLineChars="0"/>
        <w:contextualSpacing/>
        <w:rPr>
          <w:rFonts w:hint="eastAsia" w:eastAsia="宋体"/>
          <w:lang w:eastAsia="zh-CN"/>
        </w:rPr>
        <w:sectPr>
          <w:headerReference r:id="rId6" w:type="default"/>
          <w:footerReference r:id="rId7" w:type="default"/>
          <w:footerReference r:id="rId8" w:type="even"/>
          <w:pgSz w:w="11907" w:h="16840"/>
          <w:pgMar w:top="1418" w:right="1134" w:bottom="1418" w:left="1701" w:header="851" w:footer="851" w:gutter="0"/>
          <w:cols w:space="720" w:num="1"/>
          <w:docGrid w:linePitch="462" w:charSpace="0"/>
        </w:sectPr>
      </w:pPr>
      <w:r>
        <w:rPr>
          <w:rFonts w:hint="eastAsia"/>
        </w:rPr>
        <w:t>10、投标人负责对接属地管理部门的各项检查</w:t>
      </w:r>
      <w:r>
        <w:rPr>
          <w:rFonts w:hint="eastAsia"/>
          <w:lang w:eastAsia="zh-CN"/>
        </w:rPr>
        <w:t>。</w:t>
      </w:r>
    </w:p>
    <w:p>
      <w:pPr>
        <w:jc w:val="both"/>
        <w:rPr>
          <w:rFonts w:hint="default"/>
          <w:b/>
          <w:bCs/>
          <w:sz w:val="32"/>
          <w:szCs w:val="40"/>
          <w:lang w:val="en-US" w:eastAsia="zh-CN"/>
        </w:rPr>
      </w:pPr>
      <w:bookmarkStart w:id="0" w:name="_GoBack"/>
      <w:bookmarkEnd w:id="0"/>
    </w:p>
    <w:sectPr>
      <w:headerReference r:id="rId9" w:type="default"/>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46</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487.5pt;margin-top:797.6pt;height:12pt;width:38.15pt;mso-position-horizontal-relative:page;mso-position-vertical-relative:page;z-index:-251654144;mso-width-relative:page;mso-height-relative:page;" filled="f" stroked="f" coordsize="21600,21600" o:gfxdata="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fulDPbAAAADgEAAA8AAAAAAAAAAQAgAAAAIgAAAGRycy9kb3ducmV2LnhtbFBL&#10;AQIUABQAAAAIAIdO4kBMX037ugEAAHEDAAAOAAAAAAAAAAEAIAAAACo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46</w:t>
                    </w:r>
                    <w:r>
                      <w:fldChar w:fldCharType="end"/>
                    </w:r>
                    <w:r>
                      <w:rPr>
                        <w:rFonts w:ascii="Times New Roman" w:hAnsi="Times New Roman"/>
                        <w:sz w:val="18"/>
                      </w:rPr>
                      <w:t xml:space="preserve"> —</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69.9pt;margin-top:798.9pt;height:14pt;width:8pt;mso-position-horizontal-relative:page;mso-position-vertical-relative:page;z-index:-251653120;mso-width-relative:page;mso-height-relative:page;" filled="f" stroked="f" coordsize="21600,21600" o:gfxdata="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xGCfXAAAADQEAAA8AAAAAAAAAAQAgAAAAIgAAAGRycy9kb3ducmV2LnhtbFBLAQIUABQA&#10;AAAIAIdO4kDzPZSEuAEAAHEDAAAOAAAAAAAAAAEAIAAAACYBAABkcnMvZTJvRG9jLnhtbFBLBQYA&#10;AAAABgAGAFkBAABQBQAAAAA=&#10;">
              <v:fill on="f" focussize="0,0"/>
              <v:stroke on="f"/>
              <v:imagedata o:title=""/>
              <o:lock v:ext="edit" aspectratio="f"/>
              <v:textbox inset="0mm,0mm,0mm,0mm">
                <w:txbxContent>
                  <w:p>
                    <w:pPr>
                      <w:spacing w:line="280" w:lineRule="exact"/>
                      <w:ind w:left="20"/>
                      <w:jc w:val="left"/>
                      <w:rPr>
                        <w:rFonts w:ascii="宋体"/>
                        <w:sz w:val="24"/>
                      </w:rPr>
                    </w:pPr>
                    <w:r>
                      <w:rPr>
                        <w:rFonts w:ascii="宋体"/>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69.9pt;margin-top:802.65pt;height:12pt;width:38.15pt;mso-position-horizontal-relative:page;mso-position-vertical-relative:page;z-index:-251652096;mso-width-relative:page;mso-height-relative:page;" filled="f" stroked="f" coordsize="21600,21600" o:gfxdata="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4MxnTaAAAADQEAAA8AAAAAAAAAAQAgAAAAIgAAAGRycy9kb3ducmV2LnhtbFBL&#10;AQIUABQAAAAIAIdO4kDnum9muwEAAHEDAAAOAAAAAAAAAAEAIAAAACk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54</w:t>
    </w:r>
    <w: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53</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69.5pt;margin-top:47.6pt;height:0pt;width:456.4pt;mso-position-horizontal-relative:page;mso-position-vertical-relative:page;z-index:-251657216;mso-width-relative:page;mso-height-relative:page;" filled="f" stroked="t" coordsize="21600,21600" o:gfxdata="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gn94NYAAAAKAQAADwAA&#10;AAAAAAABACAAAAAiAAAAZHJzL2Rvd25yZXYueG1sUEsBAhQAFAAAAAgAh07iQGM6ZNnfAQAAzwMA&#10;AA4AAAAAAAAAAQAgAAAAJQEAAGRycy9lMm9Eb2MueG1sUEsFBgAAAAAGAAYAWQEAAHYFA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pPr>
                            <w:spacing w:line="319" w:lineRule="exact"/>
                            <w:jc w:val="left"/>
                          </w:pPr>
                          <w:r>
                            <w:rPr>
                              <w:rFonts w:hint="eastAsia"/>
                            </w:rPr>
                            <w:t>招标</w:t>
                          </w:r>
                          <w:r>
                            <w:t>文件</w:t>
                          </w:r>
                        </w:p>
                      </w:txbxContent>
                    </wps:txbx>
                    <wps:bodyPr lIns="0" tIns="0" rIns="0" bIns="0" upright="1"/>
                  </wps:wsp>
                </a:graphicData>
              </a:graphic>
            </wp:anchor>
          </w:drawing>
        </mc:Choice>
        <mc:Fallback>
          <w:pict>
            <v:shape id="_x0000_s1026" o:spid="_x0000_s1026" o:spt="202" type="#_x0000_t202" style="position:absolute;left:0pt;margin-left:69.9pt;margin-top:29.3pt;height:15.95pt;width:44.15pt;mso-position-horizontal-relative:page;mso-position-vertical-relative:page;z-index:-251656192;mso-width-relative:page;mso-height-relative:page;" filled="f" stroked="f" coordsize="21600,21600" o:gfxdata="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3cFFtgAAAAJAQAADwAAAAAAAAABACAAAAAiAAAAZHJzL2Rvd25yZXYueG1sUEsBAhQA&#10;FAAAAAgAh07iQLj6UIe5AQAAcQMAAA4AAAAAAAAAAQAgAAAAJwEAAGRycy9lMm9Eb2MueG1sUEsF&#10;BgAAAAAGAAYAWQEAAFIFAAAAAA==&#10;">
              <v:fill on="f" focussize="0,0"/>
              <v:stroke on="f"/>
              <v:imagedata o:title=""/>
              <o:lock v:ext="edit" aspectratio="f"/>
              <v:textbox inset="0mm,0mm,0mm,0mm">
                <w:txbxContent>
                  <w:p>
                    <w:pPr>
                      <w:spacing w:line="319" w:lineRule="exact"/>
                      <w:jc w:val="left"/>
                    </w:pPr>
                    <w:r>
                      <w:rPr>
                        <w:rFonts w:hint="eastAsia"/>
                      </w:rPr>
                      <w:t>招标</w:t>
                    </w:r>
                    <w:r>
                      <w:t>文件</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pPr>
                            <w:spacing w:line="319" w:lineRule="exact"/>
                            <w:ind w:left="20"/>
                            <w:jc w:val="left"/>
                          </w:pPr>
                          <w:r>
                            <w:t>合同样本</w:t>
                          </w:r>
                        </w:p>
                      </w:txbxContent>
                    </wps:txbx>
                    <wps:bodyPr lIns="0" tIns="0" rIns="0" bIns="0" upright="1"/>
                  </wps:wsp>
                </a:graphicData>
              </a:graphic>
            </wp:anchor>
          </w:drawing>
        </mc:Choice>
        <mc:Fallback>
          <w:pict>
            <v:shape id="_x0000_s1026" o:spid="_x0000_s1026" o:spt="202" type="#_x0000_t202" style="position:absolute;left:0pt;margin-left:469pt;margin-top:29.3pt;height:15.95pt;width:44.05pt;mso-position-horizontal-relative:page;mso-position-vertical-relative:page;z-index:-251655168;mso-width-relative:page;mso-height-relative:page;" filled="f" stroked="f" coordsize="21600,21600" o:gfxdata="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Fq1R2QAAAAoBAAAPAAAAAAAAAAEAIAAAACIAAABkcnMvZG93bnJldi54bWxQSwEC&#10;FAAUAAAACACHTuJA0PhdbboBAABxAwAADgAAAAAAAAABACAAAAAoAQAAZHJzL2Uyb0RvYy54bWxQ&#10;SwUGAAAAAAYABgBZAQAAVAUAAAAA&#10;">
              <v:fill on="f" focussize="0,0"/>
              <v:stroke on="f"/>
              <v:imagedata o:title=""/>
              <o:lock v:ext="edit" aspectratio="f"/>
              <v:textbox inset="0mm,0mm,0mm,0mm">
                <w:txbxContent>
                  <w:p>
                    <w:pPr>
                      <w:spacing w:line="319" w:lineRule="exact"/>
                      <w:ind w:left="20"/>
                      <w:jc w:val="left"/>
                    </w:pPr>
                    <w:r>
                      <w:t>合同样本</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C38A0"/>
    <w:multiLevelType w:val="multilevel"/>
    <w:tmpl w:val="1BFC38A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0D8747D"/>
    <w:rsid w:val="06B34636"/>
    <w:rsid w:val="0872092E"/>
    <w:rsid w:val="0C183B4A"/>
    <w:rsid w:val="14A26D8F"/>
    <w:rsid w:val="16115E8C"/>
    <w:rsid w:val="28DE45B1"/>
    <w:rsid w:val="4B7E2B6C"/>
    <w:rsid w:val="59930A01"/>
    <w:rsid w:val="5D9D153B"/>
    <w:rsid w:val="6DA01CBF"/>
    <w:rsid w:val="70E85036"/>
    <w:rsid w:val="73410CC0"/>
    <w:rsid w:val="774638A7"/>
    <w:rsid w:val="78286F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3"/>
    <w:basedOn w:val="1"/>
    <w:next w:val="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6">
    <w:name w:val="Body Text"/>
    <w:basedOn w:val="1"/>
    <w:qFormat/>
    <w:uiPriority w:val="99"/>
    <w:pPr>
      <w:tabs>
        <w:tab w:val="left" w:pos="567"/>
      </w:tabs>
      <w:spacing w:before="120" w:line="22" w:lineRule="atLeast"/>
    </w:pPr>
    <w:rPr>
      <w:rFonts w:ascii="宋体" w:hAnsi="宋体"/>
      <w:sz w:val="24"/>
    </w:rPr>
  </w:style>
  <w:style w:type="paragraph" w:styleId="7">
    <w:name w:val="Body Text Indent"/>
    <w:basedOn w:val="1"/>
    <w:next w:val="8"/>
    <w:qFormat/>
    <w:uiPriority w:val="0"/>
    <w:pPr>
      <w:spacing w:line="360" w:lineRule="auto"/>
      <w:ind w:firstLine="570"/>
    </w:pPr>
    <w:rPr>
      <w:sz w:val="24"/>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hint="eastAsia" w:ascii="宋体" w:hAnsi="Courier New"/>
      <w:szCs w:val="20"/>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tabs>
        <w:tab w:val="right" w:leader="dot" w:pos="8937"/>
      </w:tabs>
      <w:spacing w:line="312" w:lineRule="auto"/>
      <w:ind w:left="420" w:leftChars="20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7"/>
    <w:qFormat/>
    <w:uiPriority w:val="0"/>
    <w:pPr>
      <w:spacing w:after="120" w:line="480" w:lineRule="exact"/>
      <w:ind w:left="420" w:leftChars="200" w:firstLine="420" w:firstLineChars="200"/>
    </w:pPr>
    <w:rPr>
      <w:szCs w:val="20"/>
    </w:rPr>
  </w:style>
  <w:style w:type="character" w:styleId="17">
    <w:name w:val="page number"/>
    <w:qFormat/>
    <w:uiPriority w:val="0"/>
  </w:style>
  <w:style w:type="character" w:styleId="18">
    <w:name w:val="annotation reference"/>
    <w:qFormat/>
    <w:uiPriority w:val="99"/>
    <w:rPr>
      <w:sz w:val="21"/>
      <w:szCs w:val="21"/>
    </w:rPr>
  </w:style>
  <w:style w:type="paragraph" w:customStyle="1" w:styleId="19">
    <w:name w:val="SOW正文"/>
    <w:basedOn w:val="1"/>
    <w:qFormat/>
    <w:uiPriority w:val="0"/>
    <w:pPr>
      <w:snapToGrid w:val="0"/>
      <w:spacing w:before="120" w:line="400" w:lineRule="exact"/>
      <w:ind w:firstLine="425"/>
    </w:pPr>
    <w:rPr>
      <w:rFonts w:ascii="Times New Roman" w:hAnsi="Times New Roman"/>
      <w:sz w:val="24"/>
      <w:szCs w:val="20"/>
    </w:rPr>
  </w:style>
  <w:style w:type="paragraph" w:styleId="20">
    <w:name w:val="List Paragraph"/>
    <w:basedOn w:val="1"/>
    <w:qFormat/>
    <w:uiPriority w:val="34"/>
    <w:pPr>
      <w:ind w:firstLine="420" w:firstLineChars="200"/>
    </w:pPr>
    <w:rPr>
      <w:rFonts w:cs="Times New Roman"/>
      <w:szCs w:val="22"/>
    </w:rPr>
  </w:style>
  <w:style w:type="paragraph" w:customStyle="1" w:styleId="21">
    <w:name w:val="正文文本 (2)"/>
    <w:basedOn w:val="1"/>
    <w:link w:val="22"/>
    <w:qFormat/>
    <w:uiPriority w:val="99"/>
    <w:pPr>
      <w:shd w:val="clear" w:color="auto" w:fill="FFFFFF"/>
      <w:spacing w:before="660" w:line="394" w:lineRule="exact"/>
    </w:pPr>
    <w:rPr>
      <w:rFonts w:ascii="宋体" w:hAnsi="宋体" w:eastAsiaTheme="minorEastAsia" w:cstheme="minorBidi"/>
      <w:kern w:val="0"/>
      <w:sz w:val="22"/>
      <w:szCs w:val="20"/>
    </w:rPr>
  </w:style>
  <w:style w:type="character" w:customStyle="1" w:styleId="22">
    <w:name w:val="正文文本 (2)_"/>
    <w:basedOn w:val="16"/>
    <w:link w:val="21"/>
    <w:qFormat/>
    <w:locked/>
    <w:uiPriority w:val="99"/>
    <w:rPr>
      <w:rFonts w:ascii="宋体" w:hAnsi="宋体" w:eastAsiaTheme="minorEastAsia" w:cstheme="minorBidi"/>
      <w:kern w:val="0"/>
      <w:sz w:val="22"/>
      <w:szCs w:val="20"/>
    </w:rPr>
  </w:style>
  <w:style w:type="paragraph" w:customStyle="1" w:styleId="23">
    <w:name w:val="表格标题 (3)"/>
    <w:basedOn w:val="1"/>
    <w:link w:val="24"/>
    <w:qFormat/>
    <w:uiPriority w:val="99"/>
    <w:pPr>
      <w:shd w:val="clear" w:color="auto" w:fill="FFFFFF"/>
      <w:spacing w:after="180" w:line="240" w:lineRule="atLeast"/>
      <w:jc w:val="right"/>
    </w:pPr>
    <w:rPr>
      <w:rFonts w:ascii="宋体" w:hAnsi="宋体" w:eastAsiaTheme="minorEastAsia" w:cstheme="minorBidi"/>
      <w:kern w:val="0"/>
      <w:sz w:val="19"/>
      <w:szCs w:val="20"/>
    </w:rPr>
  </w:style>
  <w:style w:type="character" w:customStyle="1" w:styleId="24">
    <w:name w:val="表格标题 (3)_"/>
    <w:link w:val="23"/>
    <w:qFormat/>
    <w:locked/>
    <w:uiPriority w:val="99"/>
    <w:rPr>
      <w:rFonts w:ascii="宋体" w:hAnsi="宋体" w:eastAsiaTheme="minorEastAsia" w:cstheme="minorBidi"/>
      <w:kern w:val="0"/>
      <w:sz w:val="19"/>
      <w:szCs w:val="20"/>
    </w:rPr>
  </w:style>
  <w:style w:type="character" w:customStyle="1" w:styleId="25">
    <w:name w:val="正文文本 (6)_"/>
    <w:link w:val="26"/>
    <w:qFormat/>
    <w:locked/>
    <w:uiPriority w:val="99"/>
    <w:rPr>
      <w:rFonts w:ascii="宋体" w:hAnsi="宋体" w:eastAsiaTheme="minorEastAsia" w:cstheme="minorBidi"/>
      <w:kern w:val="0"/>
      <w:sz w:val="19"/>
      <w:szCs w:val="20"/>
    </w:rPr>
  </w:style>
  <w:style w:type="paragraph" w:customStyle="1" w:styleId="26">
    <w:name w:val="正文文本 (6)"/>
    <w:basedOn w:val="1"/>
    <w:link w:val="25"/>
    <w:qFormat/>
    <w:uiPriority w:val="99"/>
    <w:pPr>
      <w:shd w:val="clear" w:color="auto" w:fill="FFFFFF"/>
      <w:spacing w:before="60" w:line="403" w:lineRule="exact"/>
      <w:ind w:firstLine="440"/>
    </w:pPr>
    <w:rPr>
      <w:rFonts w:ascii="宋体" w:hAnsi="宋体" w:eastAsiaTheme="minorEastAsia" w:cstheme="minorBidi"/>
      <w:kern w:val="0"/>
      <w:sz w:val="19"/>
      <w:szCs w:val="20"/>
    </w:rPr>
  </w:style>
  <w:style w:type="character" w:customStyle="1" w:styleId="27">
    <w:name w:val="正文文本 (6) + 10 pt"/>
    <w:qFormat/>
    <w:uiPriority w:val="99"/>
    <w:rPr>
      <w:rFonts w:ascii="宋体" w:hAnsi="宋体" w:eastAsia="宋体"/>
      <w:sz w:val="20"/>
    </w:rPr>
  </w:style>
  <w:style w:type="paragraph" w:customStyle="1" w:styleId="28">
    <w:name w:val="列出段落1"/>
    <w:basedOn w:val="1"/>
    <w:qFormat/>
    <w:uiPriority w:val="99"/>
    <w:pPr>
      <w:ind w:firstLine="420" w:firstLineChars="200"/>
    </w:pPr>
    <w:rPr>
      <w:szCs w:val="22"/>
    </w:rPr>
  </w:style>
  <w:style w:type="paragraph" w:customStyle="1" w:styleId="29">
    <w:name w:val="招标文件正文"/>
    <w:basedOn w:val="1"/>
    <w:qFormat/>
    <w:uiPriority w:val="0"/>
    <w:pPr>
      <w:spacing w:line="300" w:lineRule="auto"/>
      <w:ind w:firstLine="200" w:firstLineChars="200"/>
      <w:jc w:val="left"/>
    </w:pPr>
    <w:rPr>
      <w:rFonts w:ascii="Times New Roman" w:hAnsi="Times New Roman"/>
      <w:kern w:val="0"/>
      <w:sz w:val="32"/>
      <w:szCs w:val="32"/>
    </w:rPr>
  </w:style>
  <w:style w:type="paragraph" w:customStyle="1" w:styleId="30">
    <w:name w:val="列表段落1"/>
    <w:basedOn w:val="1"/>
    <w:qFormat/>
    <w:uiPriority w:val="34"/>
    <w:pPr>
      <w:ind w:firstLine="420" w:firstLineChars="200"/>
    </w:pPr>
    <w:rPr>
      <w:rFonts w:ascii="Times New Roman" w:hAnsi="Times New Roman"/>
      <w:szCs w:val="20"/>
    </w:rPr>
  </w:style>
  <w:style w:type="paragraph" w:customStyle="1" w:styleId="3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XXZX-HS-001</cp:lastModifiedBy>
  <dcterms:modified xsi:type="dcterms:W3CDTF">2025-06-17T01:51:24Z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