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放射科CT750购买CT球管更换维保服务项目采购需求</w:t>
      </w:r>
    </w:p>
    <w:p>
      <w:pPr>
        <w:pStyle w:val="6"/>
        <w:autoSpaceDE/>
        <w:autoSpaceDN/>
        <w:jc w:val="center"/>
        <w:rPr>
          <w:color w:val="FF0000"/>
        </w:rPr>
      </w:pPr>
      <w:r>
        <w:rPr>
          <w:rFonts w:hint="eastAsia"/>
          <w:bCs/>
          <w:color w:val="FF0000"/>
        </w:rPr>
        <w:t>（采购需求如与拟签订的合同文本有矛盾，均以采购需求为准。）</w:t>
      </w:r>
    </w:p>
    <w:p>
      <w:pPr>
        <w:pStyle w:val="2"/>
        <w:autoSpaceDE/>
        <w:autoSpaceDN/>
        <w:jc w:val="center"/>
      </w:pPr>
      <w:bookmarkStart w:id="0" w:name="_Toc193907606"/>
      <w:r>
        <w:rPr>
          <w:rFonts w:hint="eastAsia"/>
        </w:rPr>
        <w:t>一、</w:t>
      </w:r>
      <w:r>
        <w:t>采购标的</w:t>
      </w:r>
      <w:bookmarkEnd w:id="0"/>
    </w:p>
    <w:p>
      <w:pPr>
        <w:tabs>
          <w:tab w:val="left" w:pos="1050"/>
        </w:tabs>
        <w:autoSpaceDE/>
        <w:autoSpaceDN/>
        <w:spacing w:before="161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1、需求一览表</w:t>
      </w:r>
    </w:p>
    <w:tbl>
      <w:tblPr>
        <w:tblStyle w:val="12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4678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CT球管更换维保服务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本项目不涉及</w:t>
            </w:r>
          </w:p>
        </w:tc>
      </w:tr>
    </w:tbl>
    <w:p>
      <w:pPr>
        <w:pStyle w:val="6"/>
        <w:autoSpaceDE/>
        <w:autoSpaceDN/>
        <w:ind w:left="298" w:right="290"/>
        <w:rPr>
          <w:sz w:val="28"/>
        </w:rPr>
      </w:pPr>
    </w:p>
    <w:p>
      <w:pPr>
        <w:pStyle w:val="2"/>
        <w:autoSpaceDE/>
        <w:autoSpaceDN/>
        <w:jc w:val="center"/>
      </w:pPr>
      <w:bookmarkStart w:id="1" w:name="_Toc193907607"/>
      <w:r>
        <w:rPr>
          <w:rFonts w:hint="eastAsia"/>
        </w:rPr>
        <w:t>二、</w:t>
      </w:r>
      <w:r>
        <w:t>商务要求</w:t>
      </w:r>
      <w:bookmarkEnd w:id="1"/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1、</w:t>
      </w:r>
      <w:r>
        <w:rPr>
          <w:rFonts w:ascii="Times New Roman" w:hAnsi="Times New Roman"/>
        </w:rPr>
        <w:t>交付（实施）的时间（期限）和地点（范围）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1.1、服务期限：自合同签订之日起不小于13个月；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1.2、服务地点：采购人指定地点。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2、</w:t>
      </w:r>
      <w:r>
        <w:rPr>
          <w:rFonts w:ascii="Times New Roman" w:hAnsi="Times New Roman"/>
        </w:rPr>
        <w:t>付款条件（进度和方式）</w:t>
      </w:r>
    </w:p>
    <w:p>
      <w:pPr>
        <w:tabs>
          <w:tab w:val="left" w:pos="1050"/>
        </w:tabs>
        <w:autoSpaceDE/>
        <w:autoSpaceDN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见第五章《采购需求》。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3、</w:t>
      </w:r>
      <w:r>
        <w:rPr>
          <w:rFonts w:ascii="Times New Roman" w:hAnsi="Times New Roman"/>
        </w:rPr>
        <w:t>包装和运输（如适用，须满足《关于印发〈商品包装政府采购需求标准（试行）〉、〈快递包装政府采购需求标准（试行）〉的通知》（财办库﹝2020﹞123 号））</w:t>
      </w:r>
    </w:p>
    <w:p>
      <w:pPr>
        <w:pStyle w:val="6"/>
        <w:autoSpaceDE/>
        <w:autoSpaceDN/>
        <w:ind w:right="290"/>
      </w:pPr>
    </w:p>
    <w:p>
      <w:pPr>
        <w:pStyle w:val="2"/>
        <w:numPr>
          <w:ilvl w:val="0"/>
          <w:numId w:val="1"/>
        </w:numPr>
        <w:autoSpaceDE/>
        <w:autoSpaceDN/>
        <w:jc w:val="center"/>
      </w:pPr>
      <w:bookmarkStart w:id="2" w:name="_Toc193907608"/>
      <w:r>
        <w:t>技术要求</w:t>
      </w:r>
      <w:bookmarkEnd w:id="2"/>
    </w:p>
    <w:p>
      <w:pPr>
        <w:autoSpaceDE/>
        <w:autoSpaceDN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1、维保设备情况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89"/>
        <w:gridCol w:w="36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6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设备名称</w:t>
            </w:r>
          </w:p>
        </w:tc>
        <w:tc>
          <w:tcPr>
            <w:tcW w:w="3677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设备型号</w:t>
            </w:r>
          </w:p>
        </w:tc>
        <w:tc>
          <w:tcPr>
            <w:tcW w:w="1084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多层螺旋CT</w:t>
            </w:r>
          </w:p>
        </w:tc>
        <w:tc>
          <w:tcPr>
            <w:tcW w:w="3677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Discovery CT750 HD</w:t>
            </w:r>
          </w:p>
        </w:tc>
        <w:tc>
          <w:tcPr>
            <w:tcW w:w="1084" w:type="dxa"/>
            <w:vAlign w:val="center"/>
          </w:tcPr>
          <w:p>
            <w:pPr>
              <w:pStyle w:val="10"/>
              <w:ind w:left="0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1</w:t>
            </w:r>
          </w:p>
        </w:tc>
      </w:tr>
    </w:tbl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2、服务要求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2.1、提供上述设备不小于6个月</w:t>
      </w:r>
      <w:r>
        <w:rPr>
          <w:rFonts w:ascii="Times New Roman" w:hAnsi="Times New Roman"/>
          <w:bCs/>
        </w:rPr>
        <w:t>的</w:t>
      </w:r>
      <w:r>
        <w:rPr>
          <w:rFonts w:hint="eastAsia" w:ascii="Times New Roman" w:hAnsi="Times New Roman"/>
          <w:bCs/>
        </w:rPr>
        <w:t>人工维修服务、不小于13个月且</w:t>
      </w:r>
      <w:r>
        <w:rPr>
          <w:rFonts w:ascii="Times New Roman" w:hAnsi="Times New Roman"/>
          <w:bCs/>
        </w:rPr>
        <w:t>不限人次数的</w:t>
      </w:r>
      <w:r>
        <w:rPr>
          <w:rFonts w:hint="eastAsia" w:ascii="Times New Roman" w:hAnsi="Times New Roman"/>
          <w:bCs/>
        </w:rPr>
        <w:t>球管更换服务、</w:t>
      </w:r>
      <w:r>
        <w:rPr>
          <w:rFonts w:ascii="Times New Roman" w:hAnsi="Times New Roman"/>
          <w:bCs/>
        </w:rPr>
        <w:t>服务期限内提供设备</w:t>
      </w:r>
      <w:r>
        <w:rPr>
          <w:rFonts w:hint="eastAsia" w:ascii="Times New Roman" w:hAnsi="Times New Roman"/>
          <w:bCs/>
        </w:rPr>
        <w:t>2次</w:t>
      </w:r>
      <w:r>
        <w:rPr>
          <w:rFonts w:ascii="Times New Roman" w:hAnsi="Times New Roman"/>
          <w:bCs/>
        </w:rPr>
        <w:t>保养服务</w:t>
      </w:r>
      <w:r>
        <w:rPr>
          <w:rFonts w:hint="eastAsia" w:ascii="Times New Roman" w:hAnsi="Times New Roman"/>
          <w:bCs/>
        </w:rPr>
        <w:t>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2.2、投标人须提供免费服务热线，全年365天开通，并设有≥10人专人接听，每天开通服务时间≥12小时，同时具备远程故障排除能力。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2.3、保修设备发生故障，投标人应接到维修通知后，在线工程师电话响应时间≤2小时，工程师在电话指导保修设备操作人员仍不能排除故障时，派维修工程师到达维修设备现场时间≤48小时（包括节假日）。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2.4、能合法获得、完整使用有效的原厂高级故障诊断维修钥匙，以解决相应故障。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</w:t>
      </w:r>
      <w:r>
        <w:rPr>
          <w:rFonts w:ascii="Times New Roman" w:hAnsi="Times New Roman"/>
          <w:bCs/>
        </w:rPr>
        <w:t>5</w:t>
      </w:r>
      <w:r>
        <w:rPr>
          <w:rFonts w:hint="eastAsia" w:ascii="Times New Roman" w:hAnsi="Times New Roman"/>
          <w:bCs/>
        </w:rPr>
        <w:t>、具有本地化服务能力，具备稳定的服务人员。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</w:t>
      </w:r>
      <w:r>
        <w:rPr>
          <w:rFonts w:ascii="Times New Roman" w:hAnsi="Times New Roman"/>
          <w:bCs/>
        </w:rPr>
        <w:t>6</w:t>
      </w:r>
      <w:r>
        <w:rPr>
          <w:rFonts w:hint="eastAsia" w:ascii="Times New Roman" w:hAnsi="Times New Roman"/>
          <w:bCs/>
        </w:rPr>
        <w:t>、具有经校正的所维修保修保养设备的专业维修工具、仪器，并提供序列号和需校正的工具仪器的校正记录文件。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</w:t>
      </w:r>
      <w:r>
        <w:rPr>
          <w:rFonts w:ascii="Times New Roman" w:hAnsi="Times New Roman"/>
          <w:bCs/>
        </w:rPr>
        <w:t>6</w:t>
      </w:r>
      <w:r>
        <w:rPr>
          <w:rFonts w:hint="eastAsia" w:ascii="Times New Roman" w:hAnsi="Times New Roman"/>
          <w:bCs/>
        </w:rPr>
        <w:t>、所更换的球管及配套组件应是上述所维修保养设备的原厂合法备件。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</w:t>
      </w:r>
      <w:r>
        <w:rPr>
          <w:rFonts w:ascii="Times New Roman" w:hAnsi="Times New Roman"/>
          <w:bCs/>
        </w:rPr>
        <w:t>7</w:t>
      </w:r>
      <w:r>
        <w:rPr>
          <w:rFonts w:hint="eastAsia" w:ascii="Times New Roman" w:hAnsi="Times New Roman"/>
          <w:bCs/>
        </w:rPr>
        <w:t>、能合法并及时获取并提供全套完整的原厂系统软硬件改进措施。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</w:t>
      </w:r>
      <w:r>
        <w:rPr>
          <w:rFonts w:ascii="Times New Roman" w:hAnsi="Times New Roman"/>
          <w:bCs/>
        </w:rPr>
        <w:t>8</w:t>
      </w:r>
      <w:r>
        <w:rPr>
          <w:rFonts w:hint="eastAsia" w:ascii="Times New Roman" w:hAnsi="Times New Roman"/>
          <w:bCs/>
        </w:rPr>
        <w:t>、投标人国内应设有专门的零备件仓库。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</w:p>
    <w:p>
      <w:pPr>
        <w:autoSpaceDE/>
        <w:autoSpaceDN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bCs/>
        </w:rPr>
        <w:t>2.9、投标人应提供经原厂认证的合法球管</w:t>
      </w:r>
      <w:bookmarkStart w:id="3" w:name="OLE_LINK2"/>
      <w:r>
        <w:rPr>
          <w:rFonts w:hint="eastAsia" w:ascii="Times New Roman" w:hAnsi="Times New Roman"/>
          <w:bCs/>
        </w:rPr>
        <w:t>，且应保证所供球管是全新的、未使用过的，采用厂家原装包装，并符合国家有关标准、</w:t>
      </w:r>
      <w:r>
        <w:rPr>
          <w:rFonts w:hint="eastAsia" w:ascii="Times New Roman" w:hAnsi="Times New Roman"/>
        </w:rPr>
        <w:t>制造标准及技术标准要求。</w:t>
      </w:r>
    </w:p>
    <w:p>
      <w:pPr>
        <w:autoSpaceDE/>
        <w:autoSpaceDN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2.10、投标人应负责球管的现场安装和调试，并提供球管安装所需的专用工具和辅助材料。</w:t>
      </w:r>
    </w:p>
    <w:p>
      <w:pPr>
        <w:autoSpaceDE/>
        <w:autoSpaceDN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2.11、服务人员要求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（1）投标人应派具有原厂培训认证的专业技术人员</w:t>
      </w:r>
      <w:r>
        <w:rPr>
          <w:rFonts w:hint="eastAsia" w:ascii="Times New Roman" w:hAnsi="Times New Roman"/>
        </w:rPr>
        <w:t>≥2名，</w:t>
      </w:r>
      <w:r>
        <w:rPr>
          <w:rFonts w:hint="eastAsia" w:ascii="Times New Roman" w:hAnsi="Times New Roman"/>
          <w:bCs/>
        </w:rPr>
        <w:t>在项目现场提供专业技术支持。</w:t>
      </w:r>
    </w:p>
    <w:p>
      <w:pPr>
        <w:autoSpaceDE/>
        <w:autoSpaceDN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bCs/>
        </w:rPr>
        <w:t>（2）未经采购人确认，不能随意替换现场服务人员。</w:t>
      </w:r>
    </w:p>
    <w:p>
      <w:pPr>
        <w:autoSpaceDE/>
        <w:autoSpaceDN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</w:rPr>
        <w:t>2.</w:t>
      </w:r>
      <w:r>
        <w:rPr>
          <w:rFonts w:ascii="Times New Roman" w:hAnsi="Times New Roman"/>
        </w:rPr>
        <w:t>12</w:t>
      </w:r>
      <w:r>
        <w:rPr>
          <w:rFonts w:hint="eastAsia" w:ascii="Times New Roman" w:hAnsi="Times New Roman"/>
        </w:rPr>
        <w:t>、投标人提供的</w:t>
      </w:r>
      <w:r>
        <w:rPr>
          <w:rFonts w:hint="eastAsia" w:ascii="Times New Roman" w:hAnsi="Times New Roman"/>
          <w:bCs/>
        </w:rPr>
        <w:t>球管应满足以下要求：</w:t>
      </w:r>
    </w:p>
    <w:tbl>
      <w:tblPr>
        <w:tblStyle w:val="19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序号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具体要求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阳极热容量：≥5.6MJ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焦点数量：≥2个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3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小焦点（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 xml:space="preserve">per IEC 60336/2005 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）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>≤1.0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mm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 xml:space="preserve"> x 0.7 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4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小焦点最大mA≥650mA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5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大焦点（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 xml:space="preserve">per IEC 60336/2005 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）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>≤1.6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mm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 xml:space="preserve"> x 1.2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6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大焦点最大mA≥800mA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7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 xml:space="preserve">GSI焦点 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>per IEC 60336/2005≤2.0 x 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adjustRightInd w:val="0"/>
              <w:jc w:val="center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8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adjustRightInd w:val="0"/>
              <w:rPr>
                <w:rFonts w:ascii="Times New Roman" w:hAnsi="Times New Roman" w:cs="Gill Sans MT"/>
                <w:color w:val="000000"/>
                <w:kern w:val="0"/>
              </w:rPr>
            </w:pP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 xml:space="preserve">GSI焦点 </w:t>
            </w:r>
            <w:r>
              <w:rPr>
                <w:rFonts w:ascii="Times New Roman" w:hAnsi="Times New Roman" w:cs="Gill Sans MT"/>
                <w:color w:val="000000"/>
                <w:kern w:val="0"/>
              </w:rPr>
              <w:t>per IEC 60336/2005</w:t>
            </w:r>
            <w:r>
              <w:rPr>
                <w:rFonts w:hint="eastAsia" w:ascii="Times New Roman" w:hAnsi="Times New Roman" w:cs="Gill Sans MT"/>
                <w:color w:val="000000"/>
                <w:kern w:val="0"/>
              </w:rPr>
              <w:t>可输出最大mA≥890mA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9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120KV，5秒单层扫描时，球管最大电流输出≥800</w:t>
            </w:r>
            <w:r>
              <w:rPr>
                <w:rFonts w:ascii="Times New Roman" w:hAnsi="Times New Roman"/>
                <w:kern w:val="0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10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120KV，5秒多层扫描时，球管最大电流输出≥700</w:t>
            </w:r>
            <w:r>
              <w:rPr>
                <w:rFonts w:ascii="Times New Roman" w:hAnsi="Times New Roman"/>
                <w:kern w:val="0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11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球管最大电压≥140KV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12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阳极靶面角度</w:t>
            </w:r>
            <w:r>
              <w:rPr>
                <w:rFonts w:hint="eastAsia" w:ascii="Times New Roman" w:hAnsi="Times New Roman"/>
                <w:kern w:val="0"/>
                <w:szCs w:val="24"/>
              </w:rPr>
              <w:t>≥</w:t>
            </w:r>
            <w:r>
              <w:rPr>
                <w:rFonts w:hint="eastAsia" w:ascii="Times New Roman" w:hAnsi="Times New Roman"/>
                <w:kern w:val="0"/>
              </w:rPr>
              <w:t>7度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13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球管质保期</w:t>
            </w:r>
            <w:r>
              <w:rPr>
                <w:rFonts w:ascii="Times New Roman" w:hAnsi="Times New Roman"/>
                <w:kern w:val="0"/>
              </w:rPr>
              <w:t>≥</w:t>
            </w:r>
            <w:r>
              <w:rPr>
                <w:rFonts w:hint="eastAsia" w:ascii="Times New Roman" w:hAnsi="Times New Roman"/>
                <w:kern w:val="0"/>
              </w:rPr>
              <w:t>1</w:t>
            </w:r>
            <w:r>
              <w:rPr>
                <w:rFonts w:ascii="Times New Roman" w:hAnsi="Times New Roman"/>
                <w:kern w:val="0"/>
              </w:rPr>
              <w:t>3</w:t>
            </w:r>
            <w:r>
              <w:rPr>
                <w:rFonts w:hint="eastAsia" w:ascii="Times New Roman" w:hAnsi="Times New Roman"/>
                <w:kern w:val="0"/>
              </w:rPr>
              <w:t>个月（不限人次）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14</w:t>
            </w:r>
          </w:p>
        </w:tc>
        <w:tc>
          <w:tcPr>
            <w:tcW w:w="8206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全新球管可在宝石HD750CT上正常使用</w:t>
            </w:r>
          </w:p>
        </w:tc>
      </w:tr>
    </w:tbl>
    <w:p>
      <w:pPr>
        <w:autoSpaceDE/>
        <w:autoSpaceDN/>
        <w:spacing w:line="240" w:lineRule="auto"/>
        <w:rPr>
          <w:rFonts w:hint="default"/>
          <w:b/>
          <w:bCs/>
          <w:sz w:val="32"/>
          <w:szCs w:val="40"/>
          <w:lang w:val="en-US" w:eastAsia="zh-CN"/>
        </w:rPr>
      </w:pPr>
      <w:bookmarkStart w:id="4" w:name="_GoBack"/>
      <w:bookmarkEnd w:id="4"/>
      <w:r>
        <w:rPr>
          <w:rFonts w:ascii="Times New Roman" w:hAnsi="Times New Roman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53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03835"/>
    <w:multiLevelType w:val="multilevel"/>
    <w:tmpl w:val="28A03835"/>
    <w:lvl w:ilvl="0" w:tentative="0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42711E9"/>
    <w:rsid w:val="04B9724B"/>
    <w:rsid w:val="0872092E"/>
    <w:rsid w:val="14A26D8F"/>
    <w:rsid w:val="37214F00"/>
    <w:rsid w:val="394D2B6F"/>
    <w:rsid w:val="4B7E2B6C"/>
    <w:rsid w:val="5D9D153B"/>
    <w:rsid w:val="66A16A95"/>
    <w:rsid w:val="6DA01CBF"/>
    <w:rsid w:val="70F013FA"/>
    <w:rsid w:val="77463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paragraph" w:customStyle="1" w:styleId="17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table" w:customStyle="1" w:styleId="19">
    <w:name w:val="网格型1"/>
    <w:basedOn w:val="12"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2025-04-02T05:19:22Z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</Properties>
</file>