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7"/>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加味玉屏风口服液”等10个中药制剂品种委托配制项目，投标人应根据招标文件所提出的技术规格和货物要求，综合考虑前来投标。投标人应以技术先进的设备、优良的货物和优惠的价格，充分显示自己的竞争实力。</w:t>
      </w:r>
    </w:p>
    <w:p>
      <w:pPr>
        <w:pStyle w:val="17"/>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kern w:val="0"/>
          <w:sz w:val="24"/>
        </w:rPr>
      </w:pPr>
      <w:r>
        <w:rPr>
          <w:rFonts w:hint="eastAsia" w:ascii="仿宋" w:hAnsi="仿宋" w:eastAsia="仿宋"/>
          <w:kern w:val="0"/>
          <w:sz w:val="24"/>
        </w:rPr>
        <w:t>1、符合《中华人民共和国药典》（现行）、《北京市中药饮片炮制规范》的要求。</w:t>
      </w:r>
    </w:p>
    <w:p>
      <w:pPr>
        <w:spacing w:line="360" w:lineRule="auto"/>
        <w:rPr>
          <w:rFonts w:ascii="仿宋" w:hAnsi="仿宋" w:eastAsia="仿宋"/>
          <w:kern w:val="0"/>
          <w:sz w:val="24"/>
        </w:rPr>
      </w:pPr>
      <w:r>
        <w:rPr>
          <w:rFonts w:hint="eastAsia" w:ascii="仿宋" w:hAnsi="仿宋" w:eastAsia="仿宋"/>
          <w:kern w:val="0"/>
          <w:sz w:val="24"/>
        </w:rPr>
        <w:t>2、严格执行《中华人民共和国药品管理法》、《中华人民共和国药品管理法实施条例》、《医疗机构制剂配制监督管理办法（试行）》、《医疗机构注册管理办法（试行）》、《医疗机构制剂配制质量管理规范（试行）》等相关法律、法规及规章的规定。</w:t>
      </w:r>
    </w:p>
    <w:p>
      <w:pPr>
        <w:spacing w:line="360" w:lineRule="auto"/>
        <w:rPr>
          <w:rFonts w:ascii="仿宋" w:hAnsi="仿宋" w:eastAsia="仿宋"/>
          <w:kern w:val="0"/>
          <w:sz w:val="24"/>
        </w:rPr>
      </w:pPr>
      <w:r>
        <w:rPr>
          <w:rFonts w:hint="eastAsia" w:ascii="仿宋" w:hAnsi="仿宋" w:eastAsia="仿宋"/>
          <w:kern w:val="0"/>
          <w:sz w:val="24"/>
        </w:rPr>
        <w:t>3、投标产品的包装应符合《财政部等三部门联合印发商品包装和快递包装政府采购需求标准（试行）》（财办库〔2020〕123号）的规定。</w:t>
      </w:r>
    </w:p>
    <w:p>
      <w:pPr>
        <w:spacing w:line="360" w:lineRule="auto"/>
        <w:rPr>
          <w:rFonts w:ascii="仿宋" w:hAnsi="仿宋" w:eastAsia="仿宋"/>
          <w:bCs/>
          <w:sz w:val="24"/>
        </w:rPr>
      </w:pPr>
      <w:r>
        <w:rPr>
          <w:rFonts w:hint="eastAsia" w:ascii="仿宋" w:hAnsi="仿宋" w:eastAsia="仿宋"/>
          <w:kern w:val="0"/>
          <w:sz w:val="24"/>
        </w:rPr>
        <w:t>4、符合已颁布的现行中华人民共和国认可的国家标准、地方标准和行业标准。如果这些标准内容有矛盾时，应按最高标准的条款执行。</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404"/>
        <w:gridCol w:w="297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99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74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77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9"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997" w:type="pct"/>
            <w:shd w:val="clear" w:color="auto" w:fill="auto"/>
            <w:vAlign w:val="center"/>
          </w:tcPr>
          <w:p>
            <w:pPr>
              <w:jc w:val="center"/>
              <w:rPr>
                <w:rFonts w:ascii="仿宋" w:hAnsi="仿宋" w:eastAsia="仿宋"/>
                <w:sz w:val="24"/>
              </w:rPr>
            </w:pPr>
            <w:r>
              <w:rPr>
                <w:rFonts w:hint="eastAsia" w:ascii="仿宋" w:hAnsi="仿宋" w:eastAsia="仿宋"/>
                <w:sz w:val="24"/>
              </w:rPr>
              <w:t>“加味玉屏风口服液”等10个中药制剂品种委托配制项目</w:t>
            </w:r>
          </w:p>
        </w:tc>
        <w:tc>
          <w:tcPr>
            <w:tcW w:w="1747" w:type="pct"/>
            <w:noWrap/>
            <w:vAlign w:val="center"/>
          </w:tcPr>
          <w:p>
            <w:pPr>
              <w:widowControl/>
              <w:jc w:val="center"/>
              <w:rPr>
                <w:rFonts w:ascii="仿宋" w:hAnsi="仿宋" w:eastAsia="仿宋"/>
                <w:sz w:val="24"/>
              </w:rPr>
            </w:pPr>
            <w:r>
              <w:rPr>
                <w:rFonts w:hint="eastAsia" w:ascii="仿宋" w:hAnsi="仿宋" w:eastAsia="仿宋"/>
                <w:sz w:val="24"/>
              </w:rPr>
              <w:t>1项，详见七、采购标的需满足的质量、安全、技术规格、物理特性等要求</w:t>
            </w:r>
          </w:p>
        </w:tc>
        <w:tc>
          <w:tcPr>
            <w:tcW w:w="778"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7"/>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w:t>
      </w:r>
      <w:r>
        <w:rPr>
          <w:rFonts w:hint="eastAsia" w:ascii="仿宋" w:hAnsi="仿宋" w:eastAsia="仿宋" w:cs="宋体"/>
          <w:sz w:val="24"/>
        </w:rPr>
        <w:t>首都儿科研究所附属儿童医院指定时间</w:t>
      </w:r>
      <w:r>
        <w:rPr>
          <w:rFonts w:hint="eastAsia" w:ascii="仿宋" w:hAnsi="仿宋" w:eastAsia="仿宋"/>
          <w:sz w:val="24"/>
        </w:rPr>
        <w:t>。</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2、采购项目（标的）交付的地点：首都儿科研究所附属儿童医院指定地点。</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before="156" w:beforeLines="50" w:line="360" w:lineRule="auto"/>
        <w:ind w:firstLine="480" w:firstLineChars="200"/>
        <w:rPr>
          <w:rFonts w:hint="default" w:ascii="仿宋" w:hAnsi="仿宋" w:eastAsia="仿宋"/>
          <w:sz w:val="24"/>
          <w:szCs w:val="24"/>
        </w:rPr>
      </w:pPr>
      <w:r>
        <w:rPr>
          <w:rFonts w:ascii="仿宋" w:hAnsi="仿宋" w:eastAsia="仿宋"/>
          <w:bCs/>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color w:val="FF0000"/>
          <w:sz w:val="24"/>
        </w:rPr>
      </w:pPr>
      <w:r>
        <w:rPr>
          <w:rFonts w:hint="eastAsia" w:ascii="仿宋" w:hAnsi="仿宋" w:eastAsia="仿宋"/>
          <w:color w:val="FF0000"/>
          <w:sz w:val="24"/>
        </w:rPr>
        <w:t>服务期限：服务期一年。服务期内投标人</w:t>
      </w:r>
      <w:r>
        <w:rPr>
          <w:rFonts w:ascii="仿宋" w:hAnsi="仿宋" w:eastAsia="仿宋"/>
          <w:color w:val="FF0000"/>
          <w:sz w:val="24"/>
        </w:rPr>
        <w:t>必须确保</w:t>
      </w:r>
      <w:r>
        <w:rPr>
          <w:rFonts w:hint="eastAsia" w:ascii="仿宋" w:hAnsi="仿宋" w:eastAsia="仿宋"/>
          <w:color w:val="FF0000"/>
          <w:sz w:val="24"/>
        </w:rPr>
        <w:t>制剂加工使用的原辅包符合产品质量要求；在配制过程中严格执行制剂工艺和质量标准，确保各工序环节的质量控制；成品的贮存条件应符合制剂品种贮存要求；投标人应确保制剂在有效期内的质量始终符合既定的质量标准。</w:t>
      </w:r>
    </w:p>
    <w:p>
      <w:pPr>
        <w:pStyle w:val="17"/>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8"/>
        <w:spacing w:before="156" w:beforeLines="50" w:line="360" w:lineRule="auto"/>
        <w:ind w:firstLine="480" w:firstLineChars="200"/>
        <w:rPr>
          <w:rStyle w:val="16"/>
          <w:rFonts w:hint="default" w:ascii="Calibri" w:hAnsi="Calibri"/>
        </w:rPr>
      </w:pPr>
      <w:r>
        <w:rPr>
          <w:rFonts w:ascii="仿宋" w:hAnsi="仿宋" w:eastAsia="仿宋"/>
          <w:bCs/>
          <w:sz w:val="24"/>
          <w:szCs w:val="24"/>
        </w:rPr>
        <w:t>投标人应当具备完善的质量体系，具有与配制本项目制剂相适应的配制与质量保证条件。按照采购人出具的依法批准的生产工艺和质量标准进行配制和检验，全程符合GMP管理相关要求。投标人中标并完成制剂配制后，应向采购人出具批检验报告，并按规定保存所有受托配制的文件和记录。将制剂成品在规定的时间、品种、数量配送至采购人指定的交货地点后，按照采购人的申请定单，共同核对货物的包装、标签、外观、数量以及检验报告书、放行单、随货同行单等相关单据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投标人需提供技术需求响应方案、药品配制方案、配制药品所配备的设备和检测仪器情况、药品配送方案、仓储能力、项目服务团队情况、应急预案和售后服务能力（包括但不限于能够在项目所在地设立售后服务机构，设有专人支持本项服务）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“加味玉屏风口服液”等10个中药制剂品种委托配制项目</w:t>
      </w:r>
    </w:p>
    <w:p>
      <w:pPr>
        <w:tabs>
          <w:tab w:val="left" w:pos="5040"/>
        </w:tabs>
        <w:spacing w:line="360" w:lineRule="auto"/>
        <w:rPr>
          <w:rFonts w:ascii="仿宋" w:hAnsi="仿宋" w:eastAsia="仿宋" w:cs="仿宋"/>
          <w:b/>
          <w:sz w:val="24"/>
        </w:rPr>
      </w:pPr>
      <w:r>
        <w:rPr>
          <w:rFonts w:hint="eastAsia" w:ascii="仿宋" w:hAnsi="仿宋" w:eastAsia="仿宋" w:cs="仿宋"/>
          <w:b/>
          <w:sz w:val="24"/>
        </w:rPr>
        <w:t>一、需求一览表</w:t>
      </w:r>
    </w:p>
    <w:p>
      <w:pPr>
        <w:spacing w:line="360" w:lineRule="auto"/>
        <w:rPr>
          <w:rFonts w:ascii="仿宋" w:hAnsi="仿宋" w:eastAsia="仿宋" w:cs="仿宋"/>
          <w:b/>
          <w:bCs/>
          <w:sz w:val="24"/>
        </w:rPr>
      </w:pPr>
      <w:r>
        <w:rPr>
          <w:rFonts w:hint="eastAsia" w:ascii="仿宋" w:hAnsi="仿宋" w:eastAsia="仿宋" w:cs="仿宋"/>
          <w:b/>
          <w:bCs/>
          <w:sz w:val="24"/>
        </w:rPr>
        <w:t>1、采购招标的数量及规格：</w:t>
      </w:r>
    </w:p>
    <w:tbl>
      <w:tblPr>
        <w:tblStyle w:val="13"/>
        <w:tblW w:w="5000" w:type="pct"/>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2395"/>
        <w:gridCol w:w="1563"/>
        <w:gridCol w:w="1372"/>
        <w:gridCol w:w="1352"/>
        <w:gridCol w:w="1071"/>
      </w:tblGrid>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blHeader/>
          <w:jc w:val="center"/>
        </w:trPr>
        <w:tc>
          <w:tcPr>
            <w:tcW w:w="451" w:type="pct"/>
            <w:noWrap/>
            <w:vAlign w:val="center"/>
          </w:tcPr>
          <w:p>
            <w:pPr>
              <w:jc w:val="center"/>
              <w:rPr>
                <w:rFonts w:ascii="仿宋" w:hAnsi="仿宋" w:eastAsia="仿宋" w:cs="仿宋"/>
                <w:b/>
                <w:szCs w:val="21"/>
              </w:rPr>
            </w:pPr>
            <w:r>
              <w:rPr>
                <w:rFonts w:hint="eastAsia" w:ascii="仿宋" w:hAnsi="仿宋" w:eastAsia="仿宋" w:cs="仿宋"/>
                <w:b/>
                <w:szCs w:val="21"/>
              </w:rPr>
              <w:t>序号</w:t>
            </w:r>
          </w:p>
        </w:tc>
        <w:tc>
          <w:tcPr>
            <w:tcW w:w="1405" w:type="pct"/>
            <w:noWrap/>
            <w:vAlign w:val="center"/>
          </w:tcPr>
          <w:p>
            <w:pPr>
              <w:jc w:val="center"/>
              <w:rPr>
                <w:rFonts w:ascii="仿宋" w:hAnsi="仿宋" w:eastAsia="仿宋" w:cs="仿宋"/>
                <w:b/>
                <w:szCs w:val="21"/>
              </w:rPr>
            </w:pPr>
            <w:r>
              <w:rPr>
                <w:rFonts w:hint="eastAsia" w:ascii="仿宋" w:hAnsi="仿宋" w:eastAsia="仿宋" w:cs="仿宋"/>
                <w:b/>
                <w:szCs w:val="21"/>
              </w:rPr>
              <w:t>名称</w:t>
            </w:r>
          </w:p>
        </w:tc>
        <w:tc>
          <w:tcPr>
            <w:tcW w:w="917" w:type="pct"/>
            <w:noWrap/>
            <w:vAlign w:val="center"/>
          </w:tcPr>
          <w:p>
            <w:pPr>
              <w:jc w:val="center"/>
              <w:rPr>
                <w:rFonts w:ascii="仿宋" w:hAnsi="仿宋" w:eastAsia="仿宋" w:cs="仿宋"/>
                <w:b/>
                <w:szCs w:val="21"/>
              </w:rPr>
            </w:pPr>
            <w:r>
              <w:rPr>
                <w:rFonts w:hint="eastAsia" w:ascii="仿宋" w:hAnsi="仿宋" w:eastAsia="仿宋" w:cs="仿宋"/>
                <w:b/>
                <w:szCs w:val="21"/>
              </w:rPr>
              <w:t>规格/盒</w:t>
            </w:r>
          </w:p>
        </w:tc>
        <w:tc>
          <w:tcPr>
            <w:tcW w:w="805" w:type="pct"/>
            <w:vAlign w:val="center"/>
          </w:tcPr>
          <w:p>
            <w:pPr>
              <w:widowControl/>
              <w:jc w:val="center"/>
              <w:rPr>
                <w:rFonts w:ascii="仿宋" w:hAnsi="仿宋" w:eastAsia="仿宋" w:cs="仿宋"/>
                <w:b/>
                <w:szCs w:val="21"/>
              </w:rPr>
            </w:pPr>
            <w:r>
              <w:rPr>
                <w:rFonts w:ascii="仿宋" w:hAnsi="仿宋" w:eastAsia="仿宋" w:cs="仿宋"/>
                <w:b/>
                <w:color w:val="000000"/>
                <w:kern w:val="0"/>
                <w:szCs w:val="21"/>
                <w:lang w:bidi="ar"/>
              </w:rPr>
              <w:t>采购品目</w:t>
            </w:r>
            <w:r>
              <w:rPr>
                <w:rFonts w:hint="eastAsia" w:ascii="仿宋" w:hAnsi="仿宋" w:eastAsia="仿宋" w:cs="仿宋"/>
                <w:b/>
                <w:color w:val="000000"/>
                <w:kern w:val="0"/>
                <w:szCs w:val="21"/>
                <w:lang w:bidi="ar"/>
              </w:rPr>
              <w:t>预算单价金额</w:t>
            </w:r>
            <w:r>
              <w:rPr>
                <w:rFonts w:hint="eastAsia" w:ascii="仿宋" w:hAnsi="仿宋" w:eastAsia="仿宋" w:cs="仿宋"/>
                <w:b/>
                <w:szCs w:val="21"/>
              </w:rPr>
              <w:t>（元/盒）</w:t>
            </w:r>
          </w:p>
        </w:tc>
        <w:tc>
          <w:tcPr>
            <w:tcW w:w="793" w:type="pct"/>
            <w:vAlign w:val="center"/>
          </w:tcPr>
          <w:p>
            <w:pPr>
              <w:jc w:val="center"/>
              <w:rPr>
                <w:rFonts w:ascii="仿宋" w:hAnsi="仿宋" w:eastAsia="仿宋" w:cs="仿宋"/>
                <w:b/>
                <w:szCs w:val="21"/>
              </w:rPr>
            </w:pPr>
            <w:r>
              <w:rPr>
                <w:rFonts w:hint="eastAsia" w:ascii="仿宋" w:hAnsi="仿宋" w:eastAsia="仿宋" w:cs="仿宋"/>
                <w:b/>
                <w:szCs w:val="21"/>
              </w:rPr>
              <w:t>合同期内年配制总数量（盒）</w:t>
            </w:r>
          </w:p>
        </w:tc>
        <w:tc>
          <w:tcPr>
            <w:tcW w:w="628" w:type="pct"/>
            <w:vAlign w:val="center"/>
          </w:tcPr>
          <w:p>
            <w:pPr>
              <w:jc w:val="center"/>
              <w:rPr>
                <w:rFonts w:ascii="仿宋" w:hAnsi="仿宋" w:eastAsia="仿宋" w:cs="仿宋"/>
                <w:b/>
                <w:szCs w:val="21"/>
              </w:rPr>
            </w:pPr>
            <w:r>
              <w:rPr>
                <w:rFonts w:hint="eastAsia" w:ascii="仿宋" w:hAnsi="仿宋" w:eastAsia="仿宋" w:cs="仿宋"/>
                <w:b/>
                <w:szCs w:val="21"/>
              </w:rPr>
              <w:t>最小批量</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w:t>
            </w:r>
          </w:p>
        </w:tc>
        <w:tc>
          <w:tcPr>
            <w:tcW w:w="1405"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加味玉屏风口服液</w:t>
            </w:r>
          </w:p>
        </w:tc>
        <w:tc>
          <w:tcPr>
            <w:tcW w:w="91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10ml×30支</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82.23</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40273</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2</w:t>
            </w:r>
          </w:p>
        </w:tc>
        <w:tc>
          <w:tcPr>
            <w:tcW w:w="1405"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补气健脾口服液</w:t>
            </w:r>
          </w:p>
        </w:tc>
        <w:tc>
          <w:tcPr>
            <w:tcW w:w="91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10ml×30支</w:t>
            </w:r>
          </w:p>
        </w:tc>
        <w:tc>
          <w:tcPr>
            <w:tcW w:w="805"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74.83</w:t>
            </w:r>
          </w:p>
        </w:tc>
        <w:tc>
          <w:tcPr>
            <w:tcW w:w="79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124736</w:t>
            </w:r>
          </w:p>
        </w:tc>
        <w:tc>
          <w:tcPr>
            <w:tcW w:w="628"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3</w:t>
            </w:r>
          </w:p>
        </w:tc>
        <w:tc>
          <w:tcPr>
            <w:tcW w:w="1405"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健脑止抽颗粒</w:t>
            </w:r>
          </w:p>
        </w:tc>
        <w:tc>
          <w:tcPr>
            <w:tcW w:w="91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8g×10袋</w:t>
            </w:r>
          </w:p>
        </w:tc>
        <w:tc>
          <w:tcPr>
            <w:tcW w:w="805"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76.86</w:t>
            </w:r>
          </w:p>
        </w:tc>
        <w:tc>
          <w:tcPr>
            <w:tcW w:w="79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12542</w:t>
            </w:r>
          </w:p>
        </w:tc>
        <w:tc>
          <w:tcPr>
            <w:tcW w:w="628"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2万袋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4</w:t>
            </w:r>
          </w:p>
        </w:tc>
        <w:tc>
          <w:tcPr>
            <w:tcW w:w="1405"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鼻炎清口服液</w:t>
            </w:r>
          </w:p>
        </w:tc>
        <w:tc>
          <w:tcPr>
            <w:tcW w:w="917" w:type="pct"/>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805"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26.19</w:t>
            </w:r>
          </w:p>
        </w:tc>
        <w:tc>
          <w:tcPr>
            <w:tcW w:w="79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469708</w:t>
            </w:r>
          </w:p>
        </w:tc>
        <w:tc>
          <w:tcPr>
            <w:tcW w:w="628"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tcBorders>
              <w:bottom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5</w:t>
            </w:r>
          </w:p>
        </w:tc>
        <w:tc>
          <w:tcPr>
            <w:tcW w:w="1405" w:type="pct"/>
            <w:tcBorders>
              <w:bottom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辛苍鼻舒口服液</w:t>
            </w:r>
          </w:p>
        </w:tc>
        <w:tc>
          <w:tcPr>
            <w:tcW w:w="917" w:type="pct"/>
            <w:tcBorders>
              <w:bottom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805"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23.28</w:t>
            </w:r>
          </w:p>
        </w:tc>
        <w:tc>
          <w:tcPr>
            <w:tcW w:w="793"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202718</w:t>
            </w:r>
          </w:p>
        </w:tc>
        <w:tc>
          <w:tcPr>
            <w:tcW w:w="628"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6</w:t>
            </w:r>
          </w:p>
        </w:tc>
        <w:tc>
          <w:tcPr>
            <w:tcW w:w="1405"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三子平喘颗粒</w:t>
            </w:r>
          </w:p>
        </w:tc>
        <w:tc>
          <w:tcPr>
            <w:tcW w:w="91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6g×10袋</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19.96</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43208</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6万袋</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7</w:t>
            </w:r>
          </w:p>
        </w:tc>
        <w:tc>
          <w:tcPr>
            <w:tcW w:w="1405"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清肺平喘口服液</w:t>
            </w:r>
          </w:p>
        </w:tc>
        <w:tc>
          <w:tcPr>
            <w:tcW w:w="91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10ml×10支</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29.66</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137437</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12万支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8</w:t>
            </w:r>
          </w:p>
        </w:tc>
        <w:tc>
          <w:tcPr>
            <w:tcW w:w="1405"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杏贝止咳祛痰口服液</w:t>
            </w:r>
          </w:p>
        </w:tc>
        <w:tc>
          <w:tcPr>
            <w:tcW w:w="91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25.22</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443455</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9</w:t>
            </w:r>
          </w:p>
        </w:tc>
        <w:tc>
          <w:tcPr>
            <w:tcW w:w="1405"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柴防口服液</w:t>
            </w:r>
          </w:p>
        </w:tc>
        <w:tc>
          <w:tcPr>
            <w:tcW w:w="917"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10ml×10支</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21.90</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38498</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6万支</w:t>
            </w:r>
          </w:p>
        </w:tc>
      </w:tr>
      <w:tr>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51" w:type="pct"/>
            <w:tcBorders>
              <w:top w:val="single" w:color="auto" w:sz="4" w:space="0"/>
              <w:left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w:t>
            </w:r>
          </w:p>
        </w:tc>
        <w:tc>
          <w:tcPr>
            <w:tcW w:w="1405" w:type="pct"/>
            <w:tcBorders>
              <w:top w:val="single" w:color="auto" w:sz="4" w:space="0"/>
              <w:left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清热散瘟口服液</w:t>
            </w:r>
          </w:p>
        </w:tc>
        <w:tc>
          <w:tcPr>
            <w:tcW w:w="917" w:type="pct"/>
            <w:tcBorders>
              <w:top w:val="single" w:color="auto" w:sz="4" w:space="0"/>
              <w:left w:val="single" w:color="auto" w:sz="4" w:space="0"/>
              <w:right w:val="single" w:color="auto" w:sz="4" w:space="0"/>
            </w:tcBorders>
            <w:noWrap/>
            <w:vAlign w:val="center"/>
          </w:tcPr>
          <w:p>
            <w:pPr>
              <w:spacing w:line="276" w:lineRule="auto"/>
              <w:jc w:val="center"/>
              <w:rPr>
                <w:rFonts w:ascii="仿宋" w:hAnsi="仿宋" w:eastAsia="仿宋" w:cs="仿宋"/>
                <w:szCs w:val="21"/>
              </w:rPr>
            </w:pPr>
            <w:r>
              <w:rPr>
                <w:rFonts w:hint="eastAsia" w:ascii="仿宋" w:hAnsi="仿宋" w:eastAsia="仿宋" w:cs="仿宋"/>
                <w:szCs w:val="21"/>
              </w:rPr>
              <w:t>10ml×6支</w:t>
            </w:r>
          </w:p>
        </w:tc>
        <w:tc>
          <w:tcPr>
            <w:tcW w:w="8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27.71</w:t>
            </w:r>
          </w:p>
        </w:tc>
        <w:tc>
          <w:tcPr>
            <w:tcW w:w="7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宋体"/>
                <w:color w:val="000000"/>
                <w:kern w:val="0"/>
                <w:szCs w:val="21"/>
                <w:lang w:bidi="ar"/>
              </w:rPr>
              <w:t>104943</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6万支</w:t>
            </w:r>
          </w:p>
        </w:tc>
      </w:tr>
    </w:tbl>
    <w:p>
      <w:pPr>
        <w:spacing w:line="360" w:lineRule="auto"/>
        <w:rPr>
          <w:rFonts w:ascii="仿宋" w:hAnsi="仿宋" w:eastAsia="仿宋" w:cs="仿宋"/>
          <w:b/>
          <w:sz w:val="24"/>
        </w:rPr>
      </w:pPr>
      <w:r>
        <w:rPr>
          <w:rFonts w:hint="eastAsia" w:ascii="仿宋" w:hAnsi="仿宋" w:eastAsia="仿宋" w:cs="仿宋"/>
          <w:b/>
          <w:sz w:val="24"/>
        </w:rPr>
        <w:t>注：1）以上价格包含制剂的全部加工所有费用；制剂的运输、配送、售后、保险、税等所有成本；以及申请委托配制所需的工艺验证和质量对比工作等技术研究等全部费用。除双方另有书面约定外，采购人不另行支付任何费用。</w:t>
      </w:r>
    </w:p>
    <w:p>
      <w:pPr>
        <w:spacing w:line="360" w:lineRule="auto"/>
        <w:rPr>
          <w:rFonts w:ascii="仿宋" w:hAnsi="仿宋" w:eastAsia="仿宋" w:cs="仿宋"/>
          <w:b/>
          <w:sz w:val="24"/>
        </w:rPr>
      </w:pPr>
      <w:r>
        <w:rPr>
          <w:rFonts w:hint="eastAsia" w:ascii="仿宋" w:hAnsi="仿宋" w:eastAsia="仿宋" w:cs="仿宋"/>
          <w:b/>
          <w:sz w:val="24"/>
        </w:rPr>
        <w:t>2）由于各品种总数量为预估的年使用量，在品种单价不变和不超过合同总价的情况下，各个品种数量及批次根据临床用量进行调整，最终以实际发生数量结算。</w:t>
      </w:r>
    </w:p>
    <w:p>
      <w:pPr>
        <w:spacing w:line="360" w:lineRule="auto"/>
        <w:rPr>
          <w:rFonts w:ascii="仿宋" w:hAnsi="仿宋" w:eastAsia="仿宋" w:cs="仿宋"/>
          <w:b/>
          <w:sz w:val="24"/>
        </w:rPr>
      </w:pPr>
      <w:r>
        <w:rPr>
          <w:rFonts w:hint="eastAsia" w:ascii="仿宋" w:hAnsi="仿宋" w:eastAsia="仿宋" w:cs="仿宋"/>
          <w:b/>
          <w:sz w:val="24"/>
        </w:rPr>
        <w:t>3）投标人需报出“加味玉屏风口服液</w:t>
      </w:r>
      <w:r>
        <w:rPr>
          <w:rFonts w:ascii="仿宋" w:hAnsi="仿宋" w:eastAsia="仿宋" w:cs="仿宋"/>
          <w:b/>
          <w:sz w:val="24"/>
        </w:rPr>
        <w:t>”等</w:t>
      </w:r>
      <w:r>
        <w:rPr>
          <w:rFonts w:hint="eastAsia" w:ascii="仿宋" w:hAnsi="仿宋" w:eastAsia="仿宋" w:cs="仿宋"/>
          <w:b/>
          <w:sz w:val="24"/>
        </w:rPr>
        <w:t>10个中药制剂品种配制单价，且均不能超过上述采购品目预算单价金额，否则按废标处理。</w:t>
      </w:r>
    </w:p>
    <w:p>
      <w:pPr>
        <w:spacing w:line="360" w:lineRule="auto"/>
        <w:jc w:val="left"/>
        <w:rPr>
          <w:rFonts w:ascii="仿宋" w:hAnsi="仿宋" w:eastAsia="仿宋" w:cs="仿宋"/>
          <w:b/>
          <w:sz w:val="24"/>
        </w:rPr>
      </w:pPr>
      <w:r>
        <w:rPr>
          <w:rFonts w:hint="eastAsia" w:ascii="仿宋" w:hAnsi="仿宋" w:eastAsia="仿宋" w:cs="仿宋"/>
          <w:b/>
          <w:sz w:val="24"/>
        </w:rPr>
        <w:t>2.配制品种行政许可：</w:t>
      </w:r>
    </w:p>
    <w:p>
      <w:pPr>
        <w:spacing w:line="360" w:lineRule="auto"/>
        <w:ind w:firstLine="480" w:firstLineChars="200"/>
        <w:rPr>
          <w:rFonts w:ascii="仿宋" w:hAnsi="仿宋" w:eastAsia="仿宋" w:cs="仿宋"/>
          <w:sz w:val="24"/>
        </w:rPr>
      </w:pPr>
      <w:r>
        <w:rPr>
          <w:rFonts w:hint="eastAsia" w:ascii="仿宋" w:hAnsi="仿宋" w:eastAsia="仿宋" w:cs="仿宋"/>
          <w:sz w:val="24"/>
        </w:rPr>
        <w:t>2017年7月1日起施行的《中华人民共和国中医药法》（以下简称《中医药法》）第三十一条明确规定：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医疗机构对其配制的中药制剂的质量负责;委托配制中药制剂的，委托方和受托方对所配制的中药制剂的质量分别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采购人加味玉屏风口服液等十个制剂品种，均为中药制剂，取得制剂批准和备案号，并在再注册有效期内，符合委托配制条件。品种信息如下：</w:t>
      </w:r>
    </w:p>
    <w:tbl>
      <w:tblPr>
        <w:tblStyle w:val="13"/>
        <w:tblW w:w="5000" w:type="pct"/>
        <w:tblInd w:w="0" w:type="dxa"/>
        <w:tblLayout w:type="autofit"/>
        <w:tblCellMar>
          <w:top w:w="0" w:type="dxa"/>
          <w:left w:w="108" w:type="dxa"/>
          <w:bottom w:w="0" w:type="dxa"/>
          <w:right w:w="108" w:type="dxa"/>
        </w:tblCellMar>
      </w:tblPr>
      <w:tblGrid>
        <w:gridCol w:w="849"/>
        <w:gridCol w:w="2621"/>
        <w:gridCol w:w="3307"/>
        <w:gridCol w:w="1745"/>
      </w:tblGrid>
      <w:tr>
        <w:tblPrEx>
          <w:tblCellMar>
            <w:top w:w="0" w:type="dxa"/>
            <w:left w:w="108" w:type="dxa"/>
            <w:bottom w:w="0" w:type="dxa"/>
            <w:right w:w="108" w:type="dxa"/>
          </w:tblCellMar>
        </w:tblPrEx>
        <w:trPr>
          <w:trHeight w:val="397" w:hRule="atLeast"/>
          <w:tblHeader/>
        </w:trPr>
        <w:tc>
          <w:tcPr>
            <w:tcW w:w="49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序号</w:t>
            </w:r>
          </w:p>
        </w:tc>
        <w:tc>
          <w:tcPr>
            <w:tcW w:w="1538" w:type="pct"/>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制剂名称</w:t>
            </w:r>
          </w:p>
        </w:tc>
        <w:tc>
          <w:tcPr>
            <w:tcW w:w="1940" w:type="pct"/>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批准文号</w:t>
            </w:r>
          </w:p>
        </w:tc>
        <w:tc>
          <w:tcPr>
            <w:tcW w:w="1024"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制剂剂型</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加味玉屏风口服液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京药制备字Z20220038001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2</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补气健脾口服液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京药制备字Z20210012001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3</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健脑止抽颗粒</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京药制字Z20053744</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中药颗粒剂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4</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鼻炎清口服液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京药制字Z20053739</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5</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辛苍鼻舒口服液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京药制字Z20053731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6</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三子平喘颗粒</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京药制备字Z20210011001</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中药颗粒剂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7</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清肺平喘口服液</w:t>
            </w:r>
          </w:p>
        </w:tc>
        <w:tc>
          <w:tcPr>
            <w:tcW w:w="1940"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京药制字Z20053742</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8</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杏贝止咳祛痰口服液</w:t>
            </w:r>
          </w:p>
        </w:tc>
        <w:tc>
          <w:tcPr>
            <w:tcW w:w="1940"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京药制字Z20053728</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9</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柴防口服液</w:t>
            </w:r>
          </w:p>
        </w:tc>
        <w:tc>
          <w:tcPr>
            <w:tcW w:w="1940"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京药制字Z20053737</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r>
        <w:tblPrEx>
          <w:tblCellMar>
            <w:top w:w="0" w:type="dxa"/>
            <w:left w:w="108" w:type="dxa"/>
            <w:bottom w:w="0" w:type="dxa"/>
            <w:right w:w="108" w:type="dxa"/>
          </w:tblCellMar>
        </w:tblPrEx>
        <w:trPr>
          <w:trHeight w:val="397" w:hRule="atLeast"/>
        </w:trPr>
        <w:tc>
          <w:tcPr>
            <w:tcW w:w="498"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10</w:t>
            </w:r>
          </w:p>
        </w:tc>
        <w:tc>
          <w:tcPr>
            <w:tcW w:w="1538"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清热散瘟口服液</w:t>
            </w:r>
          </w:p>
        </w:tc>
        <w:tc>
          <w:tcPr>
            <w:tcW w:w="1940" w:type="pct"/>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rPr>
              <w:t>京药制字Z20053735</w:t>
            </w:r>
          </w:p>
        </w:tc>
        <w:tc>
          <w:tcPr>
            <w:tcW w:w="1024" w:type="pct"/>
            <w:tcBorders>
              <w:top w:val="nil"/>
              <w:left w:val="nil"/>
              <w:bottom w:val="single" w:color="000000" w:sz="8" w:space="0"/>
              <w:right w:val="single" w:color="000000" w:sz="8" w:space="0"/>
            </w:tcBorders>
            <w:shd w:val="clear" w:color="auto" w:fill="auto"/>
            <w:noWrap/>
            <w:vAlign w:val="center"/>
          </w:tcPr>
          <w:p>
            <w:pPr>
              <w:jc w:val="center"/>
              <w:rPr>
                <w:rFonts w:ascii="仿宋" w:hAnsi="仿宋" w:eastAsia="仿宋" w:cs="仿宋"/>
                <w:sz w:val="24"/>
              </w:rPr>
            </w:pPr>
            <w:r>
              <w:rPr>
                <w:rFonts w:hint="eastAsia" w:ascii="仿宋" w:hAnsi="仿宋" w:eastAsia="仿宋" w:cs="仿宋"/>
                <w:sz w:val="24"/>
              </w:rPr>
              <w:t>合剂</w:t>
            </w:r>
          </w:p>
        </w:tc>
      </w:tr>
    </w:tbl>
    <w:p>
      <w:pPr>
        <w:spacing w:line="360" w:lineRule="auto"/>
        <w:rPr>
          <w:rFonts w:ascii="仿宋" w:hAnsi="仿宋" w:eastAsia="仿宋" w:cs="仿宋"/>
          <w:b/>
          <w:sz w:val="24"/>
        </w:rPr>
      </w:pPr>
      <w:r>
        <w:rPr>
          <w:rFonts w:hint="eastAsia" w:ascii="仿宋" w:hAnsi="仿宋" w:eastAsia="仿宋" w:cs="仿宋"/>
          <w:b/>
          <w:sz w:val="24"/>
        </w:rPr>
        <w:t>3.要求投标人具备的其他资质条件：</w:t>
      </w:r>
    </w:p>
    <w:p>
      <w:pPr>
        <w:spacing w:line="360" w:lineRule="auto"/>
        <w:ind w:firstLine="480" w:firstLineChars="200"/>
        <w:rPr>
          <w:rFonts w:ascii="仿宋" w:hAnsi="仿宋" w:eastAsia="仿宋" w:cs="仿宋"/>
          <w:b/>
          <w:sz w:val="24"/>
        </w:rPr>
      </w:pPr>
      <w:r>
        <w:rPr>
          <w:rFonts w:hint="eastAsia" w:ascii="仿宋_GB2312" w:hAnsi="仿宋_GB2312" w:eastAsia="仿宋_GB2312" w:cs="仿宋_GB2312"/>
          <w:sz w:val="24"/>
          <w:u w:val="single"/>
        </w:rPr>
        <w:t>根据《北京市医疗机构制剂配制监督管理办法实施细则》第二十一条，中药制剂可以委托北京市内取得《医疗机构制剂许可证》并通过《〈医疗机构制剂配制质量管理规范〉(以下简称GPP)达标检查标准》检查的医疗机构制剂室或者取得《药品生产质量管理规范》(以下简称GMP)认证证书的药品生产企业配制制剂。委托配制的制剂剂型应当与投标人持有的《医疗机构制剂许可证》或者GMP认证证书所载明的范围一致。</w:t>
      </w:r>
      <w:r>
        <w:rPr>
          <w:rFonts w:hint="eastAsia" w:ascii="仿宋" w:hAnsi="仿宋" w:eastAsia="仿宋" w:cs="仿宋"/>
          <w:b/>
          <w:bCs/>
          <w:sz w:val="24"/>
        </w:rPr>
        <w:t>详见第一章投标邀请中的“其他特定资格要求”。</w:t>
      </w:r>
    </w:p>
    <w:p>
      <w:pPr>
        <w:spacing w:line="360" w:lineRule="auto"/>
        <w:rPr>
          <w:rFonts w:ascii="仿宋" w:hAnsi="仿宋" w:eastAsia="仿宋" w:cs="仿宋"/>
          <w:b/>
          <w:bCs/>
          <w:sz w:val="24"/>
        </w:rPr>
      </w:pPr>
      <w:r>
        <w:rPr>
          <w:rFonts w:hint="eastAsia" w:ascii="仿宋" w:hAnsi="仿宋" w:eastAsia="仿宋" w:cs="仿宋"/>
          <w:b/>
          <w:bCs/>
          <w:sz w:val="24"/>
        </w:rPr>
        <w:t>4.根据《医疗机构制剂配制监督管理办法》第三十三条的规定，投标人（以下称“受托方”）应配合采购人（以下称“委托方”）向北京市药品监督管理局提供委托备案审批时所必须的材料，并加盖公章。包括但不限于：</w:t>
      </w:r>
    </w:p>
    <w:p>
      <w:pPr>
        <w:spacing w:line="360" w:lineRule="auto"/>
        <w:rPr>
          <w:rFonts w:ascii="仿宋" w:hAnsi="仿宋" w:eastAsia="仿宋" w:cs="仿宋"/>
          <w:b/>
          <w:bCs/>
          <w:sz w:val="24"/>
        </w:rPr>
      </w:pPr>
      <w:r>
        <w:rPr>
          <w:rFonts w:hint="eastAsia" w:ascii="仿宋" w:hAnsi="仿宋" w:eastAsia="仿宋" w:cs="仿宋"/>
          <w:b/>
          <w:bCs/>
          <w:sz w:val="24"/>
        </w:rPr>
        <w:t>4.1首次委托配制备案所需材料：</w:t>
      </w:r>
    </w:p>
    <w:p>
      <w:pPr>
        <w:spacing w:line="360" w:lineRule="auto"/>
        <w:rPr>
          <w:rFonts w:ascii="仿宋" w:hAnsi="仿宋" w:eastAsia="仿宋" w:cs="仿宋"/>
          <w:sz w:val="24"/>
        </w:rPr>
      </w:pPr>
      <w:r>
        <w:rPr>
          <w:rFonts w:hint="eastAsia" w:ascii="仿宋" w:hAnsi="仿宋" w:eastAsia="仿宋" w:cs="仿宋"/>
          <w:sz w:val="24"/>
        </w:rPr>
        <w:t>4.1.1《医疗机构制剂委托配制备案申请表》；</w:t>
      </w:r>
    </w:p>
    <w:p>
      <w:pPr>
        <w:spacing w:line="360" w:lineRule="auto"/>
        <w:rPr>
          <w:rFonts w:ascii="仿宋" w:hAnsi="仿宋" w:eastAsia="仿宋" w:cs="仿宋"/>
          <w:sz w:val="24"/>
        </w:rPr>
      </w:pPr>
      <w:r>
        <w:rPr>
          <w:rFonts w:hint="eastAsia" w:ascii="仿宋" w:hAnsi="仿宋" w:eastAsia="仿宋" w:cs="仿宋"/>
          <w:sz w:val="24"/>
        </w:rPr>
        <w:t>4.1.2委托方的《医疗机构执业许可证》复印件、《医疗机构制剂许可证》（如适用）复印件；</w:t>
      </w:r>
    </w:p>
    <w:p>
      <w:pPr>
        <w:spacing w:line="360" w:lineRule="auto"/>
        <w:rPr>
          <w:rFonts w:ascii="仿宋" w:hAnsi="仿宋" w:eastAsia="仿宋" w:cs="仿宋"/>
          <w:sz w:val="24"/>
        </w:rPr>
      </w:pPr>
      <w:r>
        <w:rPr>
          <w:rFonts w:hint="eastAsia" w:ascii="仿宋" w:hAnsi="仿宋" w:eastAsia="仿宋" w:cs="仿宋"/>
          <w:sz w:val="24"/>
        </w:rPr>
        <w:t>4.1.3受托方的《药品生产许可证》、《药品生产质量管理规范》认证证书（符合性检查资料），或者《医疗机构制剂许可证》复印件及其通过医疗机构制剂配制质量管理规范（GPP）达标资料；</w:t>
      </w:r>
    </w:p>
    <w:p>
      <w:pPr>
        <w:spacing w:line="360" w:lineRule="auto"/>
        <w:rPr>
          <w:rFonts w:ascii="仿宋" w:hAnsi="仿宋" w:eastAsia="仿宋" w:cs="仿宋"/>
          <w:sz w:val="24"/>
        </w:rPr>
      </w:pPr>
      <w:r>
        <w:rPr>
          <w:rFonts w:hint="eastAsia" w:ascii="仿宋" w:hAnsi="仿宋" w:eastAsia="仿宋" w:cs="仿宋"/>
          <w:sz w:val="24"/>
        </w:rPr>
        <w:t>4.1.4委托配制制剂的制剂批准文件复印件、质量标准、配制工艺和质量控制关键点；</w:t>
      </w:r>
    </w:p>
    <w:p>
      <w:pPr>
        <w:spacing w:line="360" w:lineRule="auto"/>
        <w:rPr>
          <w:rFonts w:ascii="仿宋" w:hAnsi="仿宋" w:eastAsia="仿宋" w:cs="仿宋"/>
          <w:sz w:val="24"/>
        </w:rPr>
      </w:pPr>
      <w:r>
        <w:rPr>
          <w:rFonts w:hint="eastAsia" w:ascii="仿宋" w:hAnsi="仿宋" w:eastAsia="仿宋" w:cs="仿宋"/>
          <w:sz w:val="24"/>
        </w:rPr>
        <w:t>4.1.5对委托配制的连续3批试制样品进行全项检验，应符合质量标准规定；</w:t>
      </w:r>
    </w:p>
    <w:p>
      <w:pPr>
        <w:spacing w:line="360" w:lineRule="auto"/>
        <w:rPr>
          <w:rFonts w:ascii="仿宋" w:hAnsi="仿宋" w:eastAsia="仿宋" w:cs="仿宋"/>
          <w:sz w:val="24"/>
        </w:rPr>
      </w:pPr>
      <w:r>
        <w:rPr>
          <w:rFonts w:hint="eastAsia" w:ascii="仿宋" w:hAnsi="仿宋" w:eastAsia="仿宋" w:cs="仿宋"/>
          <w:sz w:val="24"/>
        </w:rPr>
        <w:t>4.1.6委托配制的制剂原最小包装、标签和使用说明书实样（如适用）；</w:t>
      </w:r>
    </w:p>
    <w:p>
      <w:pPr>
        <w:spacing w:line="360" w:lineRule="auto"/>
        <w:rPr>
          <w:rFonts w:ascii="仿宋" w:hAnsi="仿宋" w:eastAsia="仿宋" w:cs="仿宋"/>
          <w:sz w:val="24"/>
        </w:rPr>
      </w:pPr>
      <w:r>
        <w:rPr>
          <w:rFonts w:hint="eastAsia" w:ascii="仿宋" w:hAnsi="仿宋" w:eastAsia="仿宋" w:cs="仿宋"/>
          <w:sz w:val="24"/>
        </w:rPr>
        <w:t>4.1.7委托配制的制剂拟采用的包装、标签和说明书式样及色标；</w:t>
      </w:r>
    </w:p>
    <w:p>
      <w:pPr>
        <w:spacing w:line="360" w:lineRule="auto"/>
        <w:rPr>
          <w:rFonts w:ascii="仿宋" w:hAnsi="仿宋" w:eastAsia="仿宋" w:cs="仿宋"/>
          <w:sz w:val="24"/>
        </w:rPr>
      </w:pPr>
      <w:r>
        <w:rPr>
          <w:rFonts w:hint="eastAsia" w:ascii="仿宋" w:hAnsi="仿宋" w:eastAsia="仿宋" w:cs="仿宋"/>
          <w:sz w:val="24"/>
        </w:rPr>
        <w:t>4.1.8委托配制合同；</w:t>
      </w:r>
    </w:p>
    <w:p>
      <w:pPr>
        <w:spacing w:line="360" w:lineRule="auto"/>
        <w:rPr>
          <w:rFonts w:ascii="仿宋" w:hAnsi="仿宋" w:eastAsia="仿宋" w:cs="仿宋"/>
          <w:sz w:val="24"/>
        </w:rPr>
      </w:pPr>
      <w:r>
        <w:rPr>
          <w:rFonts w:hint="eastAsia" w:ascii="仿宋" w:hAnsi="仿宋" w:eastAsia="仿宋" w:cs="仿宋"/>
          <w:sz w:val="24"/>
        </w:rPr>
        <w:t>4.1.9委托方对受托方配制和质量保证条件的考核情况；</w:t>
      </w:r>
    </w:p>
    <w:p>
      <w:pPr>
        <w:spacing w:line="360" w:lineRule="auto"/>
        <w:rPr>
          <w:rFonts w:ascii="仿宋" w:hAnsi="仿宋" w:eastAsia="仿宋" w:cs="仿宋"/>
          <w:sz w:val="24"/>
        </w:rPr>
      </w:pPr>
      <w:r>
        <w:rPr>
          <w:rFonts w:hint="eastAsia" w:ascii="仿宋" w:hAnsi="仿宋" w:eastAsia="仿宋" w:cs="仿宋"/>
          <w:sz w:val="24"/>
        </w:rPr>
        <w:t>4.1.10申报材料真实性自我保证声明。</w:t>
      </w:r>
    </w:p>
    <w:p>
      <w:pPr>
        <w:spacing w:line="360" w:lineRule="auto"/>
        <w:rPr>
          <w:rFonts w:ascii="仿宋" w:hAnsi="仿宋" w:eastAsia="仿宋" w:cs="仿宋"/>
          <w:sz w:val="24"/>
        </w:rPr>
      </w:pPr>
      <w:r>
        <w:rPr>
          <w:rFonts w:hint="eastAsia" w:ascii="仿宋" w:hAnsi="仿宋" w:eastAsia="仿宋" w:cs="仿宋"/>
          <w:sz w:val="24"/>
        </w:rPr>
        <w:t>4.2委托配制申请续展所需材料：</w:t>
      </w:r>
    </w:p>
    <w:p>
      <w:pPr>
        <w:spacing w:line="360" w:lineRule="auto"/>
        <w:rPr>
          <w:rFonts w:ascii="仿宋" w:hAnsi="仿宋" w:eastAsia="仿宋" w:cs="仿宋"/>
          <w:sz w:val="24"/>
        </w:rPr>
      </w:pPr>
      <w:r>
        <w:rPr>
          <w:rFonts w:hint="eastAsia" w:ascii="仿宋" w:hAnsi="仿宋" w:eastAsia="仿宋" w:cs="仿宋"/>
          <w:sz w:val="24"/>
        </w:rPr>
        <w:t>4.2.1委托方的《医疗机构执业许可证》复印件、《医疗机构制剂许可证》复印件；</w:t>
      </w:r>
    </w:p>
    <w:p>
      <w:pPr>
        <w:spacing w:line="360" w:lineRule="auto"/>
        <w:rPr>
          <w:rFonts w:ascii="仿宋" w:hAnsi="仿宋" w:eastAsia="仿宋" w:cs="仿宋"/>
          <w:sz w:val="24"/>
        </w:rPr>
      </w:pPr>
      <w:r>
        <w:rPr>
          <w:rFonts w:hint="eastAsia" w:ascii="仿宋" w:hAnsi="仿宋" w:eastAsia="仿宋" w:cs="仿宋"/>
          <w:sz w:val="24"/>
        </w:rPr>
        <w:t>4.2.2受托方的《药品生产许可证》、《药品生产质量管理规范》认证证书（符合性检查资料），或者《医疗机构制剂许可证》复印件；</w:t>
      </w:r>
    </w:p>
    <w:p>
      <w:pPr>
        <w:spacing w:line="360" w:lineRule="auto"/>
        <w:rPr>
          <w:rFonts w:ascii="仿宋" w:hAnsi="仿宋" w:eastAsia="仿宋" w:cs="仿宋"/>
          <w:sz w:val="24"/>
        </w:rPr>
      </w:pPr>
      <w:r>
        <w:rPr>
          <w:rFonts w:hint="eastAsia" w:ascii="仿宋" w:hAnsi="仿宋" w:eastAsia="仿宋" w:cs="仿宋"/>
          <w:sz w:val="24"/>
        </w:rPr>
        <w:t>4.2.3前次批准的《医疗机构制剂委托配制备案批件》；</w:t>
      </w:r>
    </w:p>
    <w:p>
      <w:pPr>
        <w:spacing w:line="360" w:lineRule="auto"/>
        <w:rPr>
          <w:rFonts w:ascii="仿宋" w:hAnsi="仿宋" w:eastAsia="仿宋" w:cs="仿宋"/>
          <w:sz w:val="24"/>
        </w:rPr>
      </w:pPr>
      <w:r>
        <w:rPr>
          <w:rFonts w:hint="eastAsia" w:ascii="仿宋" w:hAnsi="仿宋" w:eastAsia="仿宋" w:cs="仿宋"/>
          <w:sz w:val="24"/>
        </w:rPr>
        <w:t>4.2.4前次委托配制期间，配制及制剂质量情况的总结；</w:t>
      </w:r>
    </w:p>
    <w:p>
      <w:pPr>
        <w:spacing w:line="360" w:lineRule="auto"/>
        <w:rPr>
          <w:rFonts w:ascii="仿宋" w:hAnsi="仿宋" w:eastAsia="仿宋" w:cs="仿宋"/>
          <w:sz w:val="24"/>
        </w:rPr>
      </w:pPr>
      <w:r>
        <w:rPr>
          <w:rFonts w:hint="eastAsia" w:ascii="仿宋" w:hAnsi="仿宋" w:eastAsia="仿宋" w:cs="仿宋"/>
          <w:sz w:val="24"/>
        </w:rPr>
        <w:t>4.2.5与前次《医疗机构制剂委托配制备案批件》发生变化的证明文件。</w:t>
      </w:r>
    </w:p>
    <w:p>
      <w:pPr>
        <w:spacing w:line="360" w:lineRule="auto"/>
        <w:jc w:val="left"/>
        <w:rPr>
          <w:rFonts w:ascii="仿宋" w:hAnsi="仿宋" w:eastAsia="仿宋" w:cs="仿宋"/>
          <w:sz w:val="24"/>
        </w:rPr>
      </w:pPr>
      <w:r>
        <w:rPr>
          <w:rFonts w:hint="eastAsia" w:ascii="仿宋" w:hAnsi="仿宋" w:eastAsia="仿宋" w:cs="仿宋"/>
          <w:sz w:val="24"/>
        </w:rPr>
        <w:t>4.3、</w:t>
      </w:r>
      <w:r>
        <w:rPr>
          <w:rFonts w:hint="eastAsia" w:ascii="仿宋" w:hAnsi="仿宋" w:eastAsia="仿宋" w:cs="仿宋"/>
          <w:b/>
          <w:bCs/>
          <w:sz w:val="24"/>
        </w:rPr>
        <w:t>根据《北京市医疗机构应用传统工艺配制中药制剂备案管理实施细则（试行 》附件2《医疗机构应用传统工艺配制中药制剂备案资料要求》中，投标人（以下称“受托方”）应配合采购人（以下称“委托方”）向北京市药品监督管理局提供变更备案所需的以下材料，并加盖公章。包括但不限于：</w:t>
      </w:r>
    </w:p>
    <w:p>
      <w:pPr>
        <w:spacing w:line="360" w:lineRule="auto"/>
        <w:rPr>
          <w:rFonts w:ascii="仿宋" w:hAnsi="仿宋" w:eastAsia="仿宋" w:cs="仿宋"/>
          <w:sz w:val="24"/>
        </w:rPr>
      </w:pPr>
      <w:r>
        <w:rPr>
          <w:rFonts w:hint="eastAsia" w:ascii="仿宋" w:hAnsi="仿宋" w:eastAsia="仿宋" w:cs="仿宋"/>
          <w:sz w:val="24"/>
        </w:rPr>
        <w:t>4.3.1医疗机构配制地址或受托方配制地址发生变更的：</w:t>
      </w:r>
    </w:p>
    <w:p>
      <w:pPr>
        <w:spacing w:line="360" w:lineRule="auto"/>
        <w:rPr>
          <w:rFonts w:ascii="仿宋" w:hAnsi="仿宋" w:eastAsia="仿宋" w:cs="仿宋"/>
          <w:sz w:val="24"/>
        </w:rPr>
      </w:pPr>
      <w:r>
        <w:rPr>
          <w:rFonts w:hint="eastAsia" w:ascii="仿宋" w:hAnsi="仿宋" w:eastAsia="仿宋" w:cs="仿宋"/>
          <w:sz w:val="24"/>
        </w:rPr>
        <w:t>4.3.1.1变更的理由、变更的具体情况、变更的必要性和合理性说明；</w:t>
      </w:r>
    </w:p>
    <w:p>
      <w:pPr>
        <w:spacing w:line="360" w:lineRule="auto"/>
        <w:rPr>
          <w:rFonts w:ascii="仿宋" w:hAnsi="仿宋" w:eastAsia="仿宋" w:cs="仿宋"/>
          <w:sz w:val="24"/>
        </w:rPr>
      </w:pPr>
      <w:r>
        <w:rPr>
          <w:rFonts w:hint="eastAsia" w:ascii="仿宋" w:hAnsi="仿宋" w:eastAsia="仿宋" w:cs="仿宋"/>
          <w:sz w:val="24"/>
        </w:rPr>
        <w:t>4.3.1.2有关管理机构同意医疗机构变更配制地址或药品生产企业变更生产场地的文件；</w:t>
      </w:r>
    </w:p>
    <w:p>
      <w:pPr>
        <w:spacing w:line="360" w:lineRule="auto"/>
        <w:rPr>
          <w:rFonts w:ascii="仿宋" w:hAnsi="仿宋" w:eastAsia="仿宋" w:cs="仿宋"/>
          <w:sz w:val="24"/>
          <w:highlight w:val="green"/>
        </w:rPr>
      </w:pPr>
      <w:r>
        <w:rPr>
          <w:rFonts w:hint="eastAsia" w:ascii="仿宋" w:hAnsi="仿宋" w:eastAsia="仿宋" w:cs="仿宋"/>
          <w:sz w:val="24"/>
          <w:highlight w:val="green"/>
        </w:rPr>
        <w:t>4.3.1.3配制工艺对比研究与验证资料；</w:t>
      </w:r>
    </w:p>
    <w:p>
      <w:pPr>
        <w:spacing w:line="360" w:lineRule="auto"/>
        <w:rPr>
          <w:rFonts w:ascii="仿宋" w:hAnsi="仿宋" w:eastAsia="仿宋" w:cs="仿宋"/>
          <w:sz w:val="24"/>
          <w:highlight w:val="green"/>
        </w:rPr>
      </w:pPr>
      <w:r>
        <w:rPr>
          <w:rFonts w:hint="eastAsia" w:ascii="仿宋" w:hAnsi="仿宋" w:eastAsia="仿宋" w:cs="仿宋"/>
          <w:sz w:val="24"/>
          <w:highlight w:val="green"/>
        </w:rPr>
        <w:t>4.3.1.4质量对比研究与验证资料；</w:t>
      </w:r>
    </w:p>
    <w:p>
      <w:pPr>
        <w:spacing w:line="360" w:lineRule="auto"/>
        <w:rPr>
          <w:rFonts w:ascii="仿宋" w:hAnsi="仿宋" w:eastAsia="仿宋" w:cs="仿宋"/>
          <w:sz w:val="24"/>
        </w:rPr>
      </w:pPr>
      <w:r>
        <w:rPr>
          <w:rFonts w:hint="eastAsia" w:ascii="仿宋" w:hAnsi="仿宋" w:eastAsia="仿宋" w:cs="仿宋"/>
          <w:sz w:val="24"/>
        </w:rPr>
        <w:t>4.3.1.5提供1批样品自检报告书。</w:t>
      </w:r>
    </w:p>
    <w:p>
      <w:pPr>
        <w:spacing w:line="360" w:lineRule="auto"/>
        <w:rPr>
          <w:rFonts w:ascii="仿宋" w:hAnsi="仿宋" w:eastAsia="仿宋" w:cs="仿宋"/>
          <w:sz w:val="24"/>
        </w:rPr>
      </w:pPr>
      <w:r>
        <w:rPr>
          <w:rFonts w:hint="eastAsia" w:ascii="仿宋" w:hAnsi="仿宋" w:eastAsia="仿宋" w:cs="仿宋"/>
          <w:sz w:val="24"/>
        </w:rPr>
        <w:t>4.3.2变更委托配制单位的：</w:t>
      </w:r>
    </w:p>
    <w:p>
      <w:pPr>
        <w:spacing w:line="360" w:lineRule="auto"/>
        <w:rPr>
          <w:rFonts w:ascii="仿宋" w:hAnsi="仿宋" w:eastAsia="仿宋" w:cs="仿宋"/>
          <w:sz w:val="24"/>
        </w:rPr>
      </w:pPr>
      <w:r>
        <w:rPr>
          <w:rFonts w:hint="eastAsia" w:ascii="仿宋" w:hAnsi="仿宋" w:eastAsia="仿宋" w:cs="仿宋"/>
          <w:sz w:val="24"/>
        </w:rPr>
        <w:t>4.3.2.1变更的理由、变更的具体情况、变更的必要性和合理性说明；</w:t>
      </w:r>
    </w:p>
    <w:p>
      <w:pPr>
        <w:spacing w:line="360" w:lineRule="auto"/>
        <w:rPr>
          <w:rFonts w:ascii="仿宋" w:hAnsi="仿宋" w:eastAsia="仿宋" w:cs="仿宋"/>
          <w:sz w:val="24"/>
        </w:rPr>
      </w:pPr>
      <w:r>
        <w:rPr>
          <w:rFonts w:hint="eastAsia" w:ascii="仿宋" w:hAnsi="仿宋" w:eastAsia="仿宋" w:cs="仿宋"/>
          <w:sz w:val="24"/>
        </w:rPr>
        <w:t>4.3.2.2</w:t>
      </w:r>
      <w:r>
        <w:rPr>
          <w:rFonts w:ascii="仿宋" w:hAnsi="仿宋" w:eastAsia="仿宋" w:cs="仿宋"/>
          <w:sz w:val="24"/>
        </w:rPr>
        <w:t>配制工艺对比研究与验证资料提供质量对比研究与验证资料</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4.3.2.3提供</w:t>
      </w:r>
      <w:r>
        <w:rPr>
          <w:rFonts w:ascii="仿宋" w:hAnsi="仿宋" w:eastAsia="仿宋" w:cs="仿宋"/>
          <w:sz w:val="24"/>
        </w:rPr>
        <w:t>1批样品自检报告书</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4.3.3年度报告（医疗机构应当于每年1月10日前通过备案平台提交已备案品种上一年度的总结报告（年度报告））。</w:t>
      </w:r>
    </w:p>
    <w:p>
      <w:pPr>
        <w:spacing w:line="360" w:lineRule="auto"/>
        <w:jc w:val="left"/>
        <w:rPr>
          <w:rFonts w:ascii="仿宋" w:hAnsi="仿宋" w:eastAsia="仿宋" w:cs="仿宋"/>
          <w:b/>
          <w:sz w:val="24"/>
        </w:rPr>
      </w:pPr>
      <w:r>
        <w:rPr>
          <w:rFonts w:hint="eastAsia" w:ascii="仿宋" w:hAnsi="仿宋" w:eastAsia="仿宋" w:cs="仿宋"/>
          <w:b/>
          <w:sz w:val="24"/>
        </w:rPr>
        <w:t>5.委托配制处方、工艺及设备要求：</w:t>
      </w:r>
    </w:p>
    <w:p>
      <w:pPr>
        <w:spacing w:line="360" w:lineRule="auto"/>
        <w:jc w:val="left"/>
        <w:rPr>
          <w:rFonts w:ascii="仿宋" w:hAnsi="仿宋" w:eastAsia="仿宋" w:cs="仿宋"/>
          <w:b/>
          <w:sz w:val="24"/>
        </w:rPr>
      </w:pPr>
      <w:r>
        <w:rPr>
          <w:rFonts w:hint="eastAsia" w:ascii="仿宋" w:hAnsi="仿宋" w:eastAsia="仿宋" w:cs="仿宋"/>
          <w:sz w:val="24"/>
        </w:rPr>
        <w:t>5.1</w:t>
      </w:r>
      <w:r>
        <w:rPr>
          <w:rFonts w:hint="eastAsia" w:ascii="仿宋" w:hAnsi="仿宋" w:eastAsia="仿宋" w:cs="仿宋"/>
          <w:b/>
          <w:sz w:val="24"/>
        </w:rPr>
        <w:t>处方、包装</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436"/>
        <w:gridCol w:w="1801"/>
        <w:gridCol w:w="2065"/>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71" w:type="pct"/>
            <w:shd w:val="clear" w:color="auto" w:fill="auto"/>
            <w:noWrap/>
            <w:vAlign w:val="center"/>
          </w:tcPr>
          <w:p>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序号</w:t>
            </w:r>
          </w:p>
        </w:tc>
        <w:tc>
          <w:tcPr>
            <w:tcW w:w="843" w:type="pct"/>
            <w:shd w:val="clear" w:color="auto" w:fill="auto"/>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lang w:bidi="ar"/>
              </w:rPr>
              <w:t>品名</w:t>
            </w:r>
          </w:p>
        </w:tc>
        <w:tc>
          <w:tcPr>
            <w:tcW w:w="1057" w:type="pct"/>
            <w:shd w:val="clear" w:color="auto" w:fill="auto"/>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lang w:bidi="ar"/>
              </w:rPr>
              <w:t>批准文号</w:t>
            </w:r>
          </w:p>
        </w:tc>
        <w:tc>
          <w:tcPr>
            <w:tcW w:w="1212" w:type="pct"/>
            <w:shd w:val="clear" w:color="auto" w:fill="auto"/>
            <w:noWrap/>
            <w:vAlign w:val="center"/>
          </w:tcPr>
          <w:p>
            <w:pPr>
              <w:widowControl/>
              <w:jc w:val="center"/>
              <w:textAlignment w:val="center"/>
              <w:rPr>
                <w:rFonts w:ascii="仿宋" w:hAnsi="仿宋" w:eastAsia="仿宋" w:cs="宋体"/>
                <w:b/>
                <w:sz w:val="24"/>
              </w:rPr>
            </w:pPr>
            <w:r>
              <w:rPr>
                <w:rFonts w:hint="eastAsia" w:ascii="仿宋" w:hAnsi="仿宋" w:eastAsia="仿宋" w:cs="宋体"/>
                <w:b/>
                <w:kern w:val="0"/>
                <w:sz w:val="24"/>
                <w:lang w:bidi="ar"/>
              </w:rPr>
              <w:t>处方</w:t>
            </w:r>
          </w:p>
        </w:tc>
        <w:tc>
          <w:tcPr>
            <w:tcW w:w="1315" w:type="pct"/>
            <w:shd w:val="clear" w:color="auto" w:fill="auto"/>
            <w:noWrap/>
            <w:vAlign w:val="center"/>
          </w:tcPr>
          <w:p>
            <w:pPr>
              <w:widowControl/>
              <w:jc w:val="center"/>
              <w:textAlignment w:val="center"/>
              <w:rPr>
                <w:rFonts w:ascii="仿宋" w:hAnsi="仿宋" w:eastAsia="仿宋" w:cs="宋体"/>
                <w:b/>
                <w:kern w:val="0"/>
                <w:sz w:val="24"/>
                <w:lang w:bidi="ar"/>
              </w:rPr>
            </w:pPr>
            <w:r>
              <w:rPr>
                <w:rFonts w:hint="eastAsia" w:ascii="仿宋" w:hAnsi="仿宋" w:eastAsia="仿宋" w:cs="宋体"/>
                <w:b/>
                <w:kern w:val="0"/>
                <w:sz w:val="24"/>
                <w:lang w:bidi="ar"/>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1</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三子平喘颗粒</w:t>
            </w:r>
          </w:p>
        </w:tc>
        <w:tc>
          <w:tcPr>
            <w:tcW w:w="1057" w:type="pct"/>
            <w:shd w:val="clear" w:color="auto" w:fill="auto"/>
            <w:vAlign w:val="center"/>
          </w:tcPr>
          <w:p>
            <w:pPr>
              <w:widowControl/>
              <w:jc w:val="center"/>
              <w:textAlignment w:val="center"/>
              <w:rPr>
                <w:rFonts w:ascii="仿宋" w:hAnsi="仿宋" w:eastAsia="仿宋" w:cs="宋体"/>
                <w:sz w:val="24"/>
              </w:rPr>
            </w:pPr>
            <w:r>
              <w:rPr>
                <w:rStyle w:val="19"/>
                <w:rFonts w:hint="default" w:ascii="仿宋" w:hAnsi="仿宋" w:eastAsia="仿宋"/>
                <w:sz w:val="24"/>
                <w:szCs w:val="24"/>
                <w:lang w:bidi="ar"/>
              </w:rPr>
              <w:t>京药制备字</w:t>
            </w:r>
            <w:r>
              <w:rPr>
                <w:rStyle w:val="20"/>
                <w:rFonts w:ascii="仿宋" w:hAnsi="仿宋" w:eastAsia="仿宋"/>
                <w:sz w:val="24"/>
                <w:szCs w:val="24"/>
                <w:lang w:bidi="ar"/>
              </w:rPr>
              <w:t>Z20210011001</w:t>
            </w:r>
          </w:p>
        </w:tc>
        <w:tc>
          <w:tcPr>
            <w:tcW w:w="1212" w:type="pct"/>
            <w:vMerge w:val="restart"/>
            <w:shd w:val="clear" w:color="auto" w:fill="auto"/>
            <w:vAlign w:val="center"/>
          </w:tcPr>
          <w:p>
            <w:pPr>
              <w:widowControl/>
              <w:numPr>
                <w:ilvl w:val="255"/>
                <w:numId w:val="0"/>
              </w:numPr>
              <w:jc w:val="left"/>
              <w:textAlignment w:val="center"/>
              <w:rPr>
                <w:rStyle w:val="19"/>
                <w:rFonts w:hint="default" w:ascii="仿宋" w:hAnsi="仿宋" w:eastAsia="仿宋"/>
                <w:sz w:val="24"/>
                <w:lang w:bidi="ar"/>
              </w:rPr>
            </w:pPr>
            <w:r>
              <w:rPr>
                <w:rStyle w:val="19"/>
                <w:rFonts w:hint="default" w:ascii="仿宋" w:hAnsi="仿宋" w:eastAsia="仿宋"/>
                <w:b/>
                <w:bCs/>
                <w:sz w:val="24"/>
                <w:szCs w:val="24"/>
                <w:lang w:bidi="ar"/>
              </w:rPr>
              <w:t>中药饮片：</w:t>
            </w:r>
            <w:r>
              <w:rPr>
                <w:rStyle w:val="19"/>
                <w:rFonts w:hint="default" w:ascii="仿宋" w:hAnsi="仿宋" w:eastAsia="仿宋"/>
                <w:sz w:val="24"/>
                <w:lang w:bidi="ar"/>
              </w:rPr>
              <w:t>白芷、板蓝根、薄荷、北寒水石、柴胡、炒苍耳子、炒鸡内金、炒僵蚕、炒苦杏仁、炒莱菔子、炒牛蒡子、炒紫苏子、醋龟甲、醋五味子、大黄、地龙、煅牡蛎、法半夏、防风、麸炒白术、茯苓、甘草、广藿香、黄芪、黄芩片、金银花、荆芥、净山楂、酒黄精、酒乌梢蛇、菊花、款冬花、连翘、蓼大青叶、龙胆、龙骨、蜜麻黄、蜜桑白皮、木通、青黛、青礞石、清半夏、射干、伸筋草、生石膏、熟地黄、天麻、葶苈子、五味子、细辛、辛夷、玄参、野菊花、淫羊藿、远志（蜜炙）、浙贝母、栀子、竹茹、紫花地丁、紫菀；</w:t>
            </w:r>
          </w:p>
          <w:p>
            <w:pPr>
              <w:widowControl/>
              <w:numPr>
                <w:ilvl w:val="255"/>
                <w:numId w:val="0"/>
              </w:numPr>
              <w:jc w:val="left"/>
              <w:textAlignment w:val="center"/>
              <w:rPr>
                <w:rStyle w:val="19"/>
                <w:rFonts w:hint="default" w:ascii="仿宋" w:hAnsi="仿宋" w:eastAsia="仿宋"/>
                <w:sz w:val="24"/>
                <w:lang w:bidi="ar"/>
              </w:rPr>
            </w:pPr>
          </w:p>
          <w:p>
            <w:pPr>
              <w:widowControl/>
              <w:jc w:val="left"/>
              <w:textAlignment w:val="center"/>
              <w:rPr>
                <w:rStyle w:val="19"/>
                <w:rFonts w:hint="default" w:ascii="仿宋" w:hAnsi="仿宋" w:eastAsia="仿宋"/>
                <w:sz w:val="24"/>
                <w:lang w:bidi="ar"/>
              </w:rPr>
            </w:pPr>
            <w:r>
              <w:rPr>
                <w:rStyle w:val="19"/>
                <w:rFonts w:hint="default" w:ascii="仿宋" w:hAnsi="仿宋" w:eastAsia="仿宋"/>
                <w:b/>
                <w:bCs/>
                <w:sz w:val="24"/>
                <w:lang w:bidi="ar"/>
              </w:rPr>
              <w:t>其他原辅料：</w:t>
            </w:r>
            <w:r>
              <w:rPr>
                <w:rStyle w:val="19"/>
                <w:rFonts w:hint="default" w:ascii="仿宋" w:hAnsi="仿宋" w:eastAsia="仿宋"/>
                <w:sz w:val="24"/>
                <w:lang w:bidi="ar"/>
              </w:rPr>
              <w:t>95%乙醇、蜂蜜、糊精、山梨酸钾（药用级）、甜菊糖苷、蔗糖（药用级）</w:t>
            </w:r>
          </w:p>
        </w:tc>
        <w:tc>
          <w:tcPr>
            <w:tcW w:w="1315" w:type="pct"/>
            <w:shd w:val="clear" w:color="auto" w:fill="auto"/>
            <w:vAlign w:val="center"/>
          </w:tcPr>
          <w:p>
            <w:pPr>
              <w:widowControl/>
              <w:jc w:val="left"/>
              <w:textAlignment w:val="center"/>
              <w:rPr>
                <w:rStyle w:val="21"/>
                <w:rFonts w:hint="default" w:ascii="仿宋" w:hAnsi="仿宋" w:eastAsia="仿宋"/>
                <w:sz w:val="24"/>
                <w:szCs w:val="24"/>
                <w:lang w:bidi="ar"/>
              </w:rPr>
            </w:pPr>
            <w:r>
              <w:rPr>
                <w:rFonts w:hint="eastAsia" w:ascii="仿宋" w:hAnsi="仿宋" w:eastAsia="仿宋" w:cs="宋体"/>
                <w:kern w:val="0"/>
                <w:sz w:val="24"/>
                <w:lang w:bidi="ar"/>
              </w:rPr>
              <w:t>聚酯/铝/聚乙烯药品包装用复合膜、彩盒、大箱、说明书及其他配套包装材料。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2</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补气健脾口服液</w:t>
            </w:r>
          </w:p>
        </w:tc>
        <w:tc>
          <w:tcPr>
            <w:tcW w:w="1057" w:type="pct"/>
            <w:shd w:val="clear" w:color="auto" w:fill="auto"/>
            <w:vAlign w:val="center"/>
          </w:tcPr>
          <w:p>
            <w:pPr>
              <w:widowControl/>
              <w:jc w:val="center"/>
              <w:textAlignment w:val="center"/>
              <w:rPr>
                <w:rFonts w:ascii="仿宋" w:hAnsi="仿宋" w:eastAsia="仿宋" w:cs="宋体"/>
                <w:sz w:val="24"/>
              </w:rPr>
            </w:pPr>
            <w:r>
              <w:rPr>
                <w:rStyle w:val="22"/>
                <w:rFonts w:hint="default" w:ascii="仿宋" w:hAnsi="仿宋" w:eastAsia="仿宋"/>
                <w:sz w:val="24"/>
                <w:szCs w:val="24"/>
                <w:lang w:bidi="ar"/>
              </w:rPr>
              <w:t>京药制备字</w:t>
            </w:r>
            <w:r>
              <w:rPr>
                <w:rStyle w:val="20"/>
                <w:rFonts w:ascii="仿宋" w:hAnsi="仿宋" w:eastAsia="仿宋"/>
                <w:sz w:val="24"/>
                <w:szCs w:val="24"/>
                <w:lang w:bidi="ar"/>
              </w:rPr>
              <w:t>Z20210012001</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钠钙玻璃管制口服液体瓶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3</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加味玉屏风口服液</w:t>
            </w:r>
          </w:p>
        </w:tc>
        <w:tc>
          <w:tcPr>
            <w:tcW w:w="1057" w:type="pct"/>
            <w:shd w:val="clear" w:color="auto" w:fill="auto"/>
            <w:vAlign w:val="center"/>
          </w:tcPr>
          <w:p>
            <w:pPr>
              <w:widowControl/>
              <w:jc w:val="center"/>
              <w:textAlignment w:val="center"/>
              <w:rPr>
                <w:rFonts w:ascii="仿宋" w:hAnsi="仿宋" w:eastAsia="仿宋" w:cs="宋体"/>
                <w:sz w:val="24"/>
              </w:rPr>
            </w:pPr>
            <w:r>
              <w:rPr>
                <w:rStyle w:val="19"/>
                <w:rFonts w:hint="default" w:ascii="仿宋" w:hAnsi="仿宋" w:eastAsia="仿宋"/>
                <w:sz w:val="24"/>
                <w:szCs w:val="24"/>
                <w:lang w:bidi="ar"/>
              </w:rPr>
              <w:t>京药制备字</w:t>
            </w:r>
            <w:r>
              <w:rPr>
                <w:rStyle w:val="20"/>
                <w:rFonts w:ascii="仿宋" w:hAnsi="仿宋" w:eastAsia="仿宋"/>
                <w:sz w:val="24"/>
                <w:szCs w:val="24"/>
                <w:lang w:bidi="ar"/>
              </w:rPr>
              <w:t>Z20220038001</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钠钙玻璃管制口服液体瓶、彩盒、大箱、标签、说明书及其他配套包装材料。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4</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健脑止抽颗粒</w:t>
            </w:r>
          </w:p>
        </w:tc>
        <w:tc>
          <w:tcPr>
            <w:tcW w:w="1057"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京药制字Z20053744</w:t>
            </w:r>
          </w:p>
        </w:tc>
        <w:tc>
          <w:tcPr>
            <w:tcW w:w="1212" w:type="pct"/>
            <w:vMerge w:val="continue"/>
            <w:shd w:val="clear" w:color="auto" w:fill="auto"/>
            <w:vAlign w:val="center"/>
          </w:tcPr>
          <w:p>
            <w:pPr>
              <w:widowControl/>
              <w:jc w:val="left"/>
              <w:textAlignment w:val="center"/>
              <w:rPr>
                <w:rFonts w:ascii="仿宋" w:hAnsi="仿宋" w:eastAsia="仿宋" w:cs="宋体"/>
                <w:sz w:val="24"/>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聚酯/铝/聚乙烯药品包装用复合膜、彩盒、大箱、说明书及其他配套包装材料。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5</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辛苍鼻舒口服液</w:t>
            </w:r>
          </w:p>
        </w:tc>
        <w:tc>
          <w:tcPr>
            <w:tcW w:w="1057"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京药制字Z20053731</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钠钙玻璃管制口服液体瓶、彩盒、大箱、标签、说明书及其他配套包装材料。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6</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柴防口服液</w:t>
            </w:r>
          </w:p>
        </w:tc>
        <w:tc>
          <w:tcPr>
            <w:tcW w:w="1057"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京药制字Z20053737</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钠钙玻璃管制口服液体瓶、彩盒、大箱、标签、说明书及其他配套包装材料。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7</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鼻炎清口服液</w:t>
            </w:r>
          </w:p>
        </w:tc>
        <w:tc>
          <w:tcPr>
            <w:tcW w:w="1057"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京药制字Z20053739</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Style w:val="21"/>
                <w:rFonts w:hint="default" w:ascii="仿宋" w:hAnsi="仿宋" w:eastAsia="仿宋"/>
                <w:sz w:val="24"/>
                <w:szCs w:val="24"/>
                <w:lang w:bidi="ar"/>
              </w:rPr>
            </w:pPr>
            <w:r>
              <w:rPr>
                <w:rFonts w:hint="eastAsia" w:ascii="仿宋" w:hAnsi="仿宋" w:eastAsia="仿宋" w:cs="宋体"/>
                <w:kern w:val="0"/>
                <w:sz w:val="24"/>
                <w:lang w:bidi="ar"/>
              </w:rPr>
              <w:t>钠钙玻璃管制口服液体瓶、彩盒、大箱、标签、说明书及其他配套包装材料。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8</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清肺平喘口服液</w:t>
            </w:r>
          </w:p>
        </w:tc>
        <w:tc>
          <w:tcPr>
            <w:tcW w:w="1057"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京药制字Z20053742</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钠钙玻璃管制口服液体瓶、彩盒、大箱、标签、说明书及其他配套包装材料。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9</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清热散瘟口服液</w:t>
            </w:r>
          </w:p>
        </w:tc>
        <w:tc>
          <w:tcPr>
            <w:tcW w:w="1057"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京药制字Z200537235</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钠钙玻璃管制口服液体瓶、彩盒、大箱、标签、说明书及其他配套包装材料。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571" w:type="pct"/>
            <w:shd w:val="clear" w:color="auto" w:fill="auto"/>
            <w:vAlign w:val="center"/>
          </w:tcPr>
          <w:p>
            <w:pPr>
              <w:widowControl/>
              <w:jc w:val="center"/>
              <w:textAlignment w:val="center"/>
              <w:rPr>
                <w:rFonts w:ascii="仿宋" w:hAnsi="仿宋" w:eastAsia="仿宋" w:cs="宋体"/>
                <w:kern w:val="0"/>
                <w:sz w:val="24"/>
                <w:lang w:bidi="ar"/>
              </w:rPr>
            </w:pPr>
            <w:r>
              <w:rPr>
                <w:rFonts w:hint="eastAsia" w:ascii="仿宋" w:hAnsi="仿宋" w:eastAsia="仿宋" w:cs="宋体"/>
                <w:kern w:val="0"/>
                <w:sz w:val="24"/>
                <w:lang w:bidi="ar"/>
              </w:rPr>
              <w:t>10</w:t>
            </w:r>
          </w:p>
        </w:tc>
        <w:tc>
          <w:tcPr>
            <w:tcW w:w="843"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杏贝止咳祛痰口服液</w:t>
            </w:r>
          </w:p>
        </w:tc>
        <w:tc>
          <w:tcPr>
            <w:tcW w:w="1057" w:type="pct"/>
            <w:shd w:val="clear" w:color="auto" w:fill="auto"/>
            <w:vAlign w:val="center"/>
          </w:tcPr>
          <w:p>
            <w:pPr>
              <w:widowControl/>
              <w:jc w:val="center"/>
              <w:textAlignment w:val="center"/>
              <w:rPr>
                <w:rFonts w:ascii="仿宋" w:hAnsi="仿宋" w:eastAsia="仿宋" w:cs="宋体"/>
                <w:sz w:val="24"/>
              </w:rPr>
            </w:pPr>
            <w:r>
              <w:rPr>
                <w:rFonts w:hint="eastAsia" w:ascii="仿宋" w:hAnsi="仿宋" w:eastAsia="仿宋" w:cs="宋体"/>
                <w:kern w:val="0"/>
                <w:sz w:val="24"/>
                <w:lang w:bidi="ar"/>
              </w:rPr>
              <w:t>京药制字Z20053728</w:t>
            </w:r>
          </w:p>
        </w:tc>
        <w:tc>
          <w:tcPr>
            <w:tcW w:w="1212" w:type="pct"/>
            <w:vMerge w:val="continue"/>
            <w:shd w:val="clear" w:color="auto" w:fill="auto"/>
            <w:vAlign w:val="center"/>
          </w:tcPr>
          <w:p>
            <w:pPr>
              <w:widowControl/>
              <w:jc w:val="left"/>
              <w:textAlignment w:val="center"/>
              <w:rPr>
                <w:rFonts w:ascii="仿宋" w:hAnsi="仿宋" w:eastAsia="仿宋" w:cs="宋体"/>
                <w:kern w:val="0"/>
                <w:sz w:val="24"/>
                <w:lang w:bidi="ar"/>
              </w:rPr>
            </w:pPr>
          </w:p>
        </w:tc>
        <w:tc>
          <w:tcPr>
            <w:tcW w:w="1315" w:type="pct"/>
            <w:shd w:val="clear" w:color="auto" w:fill="auto"/>
            <w:vAlign w:val="center"/>
          </w:tcPr>
          <w:p>
            <w:pPr>
              <w:widowControl/>
              <w:jc w:val="left"/>
              <w:textAlignment w:val="center"/>
              <w:rPr>
                <w:rFonts w:ascii="仿宋" w:hAnsi="仿宋" w:eastAsia="仿宋" w:cs="宋体"/>
                <w:kern w:val="0"/>
                <w:sz w:val="24"/>
                <w:lang w:bidi="ar"/>
              </w:rPr>
            </w:pPr>
            <w:r>
              <w:rPr>
                <w:rFonts w:hint="eastAsia" w:ascii="仿宋" w:hAnsi="仿宋" w:eastAsia="仿宋" w:cs="宋体"/>
                <w:kern w:val="0"/>
                <w:sz w:val="24"/>
                <w:lang w:bidi="ar"/>
              </w:rPr>
              <w:t>钠钙玻璃管制口服液体瓶、彩盒、大箱、标签、说明书及其他配套包装材料。</w:t>
            </w:r>
          </w:p>
        </w:tc>
      </w:tr>
    </w:tbl>
    <w:p>
      <w:pPr>
        <w:spacing w:line="360" w:lineRule="auto"/>
        <w:jc w:val="left"/>
        <w:rPr>
          <w:rFonts w:ascii="仿宋" w:hAnsi="仿宋" w:eastAsia="仿宋" w:cs="仿宋"/>
          <w:bCs/>
          <w:sz w:val="24"/>
        </w:rPr>
      </w:pPr>
      <w:r>
        <w:rPr>
          <w:rFonts w:hint="eastAsia" w:ascii="仿宋" w:hAnsi="仿宋" w:eastAsia="仿宋" w:cs="仿宋"/>
          <w:sz w:val="24"/>
        </w:rPr>
        <w:t>5.1.1</w:t>
      </w:r>
      <w:r>
        <w:rPr>
          <w:rFonts w:hint="eastAsia" w:ascii="仿宋" w:hAnsi="仿宋" w:eastAsia="仿宋" w:cs="仿宋"/>
          <w:bCs/>
          <w:sz w:val="24"/>
        </w:rPr>
        <w:t>投标人应具备采购全部处方所需中药饮片、包装材料、及其他原辅料的能力。</w:t>
      </w:r>
    </w:p>
    <w:p>
      <w:pPr>
        <w:spacing w:line="360" w:lineRule="auto"/>
        <w:jc w:val="left"/>
        <w:rPr>
          <w:rFonts w:ascii="仿宋" w:hAnsi="仿宋" w:eastAsia="仿宋" w:cs="仿宋"/>
          <w:bCs/>
          <w:sz w:val="24"/>
        </w:rPr>
      </w:pPr>
      <w:r>
        <w:rPr>
          <w:rFonts w:hint="eastAsia" w:ascii="仿宋" w:hAnsi="仿宋" w:eastAsia="仿宋" w:cs="仿宋"/>
          <w:bCs/>
          <w:sz w:val="24"/>
        </w:rPr>
        <w:t>5.1.2投标人所供制剂的直接接触药品的包装材料应在国家药品监督管理局药品审评中心网站登记可查，登记品种名称应符合上述包装名称，且与制剂共同审评审批结果为“A”。</w:t>
      </w:r>
    </w:p>
    <w:p>
      <w:pPr>
        <w:spacing w:line="360" w:lineRule="auto"/>
        <w:jc w:val="left"/>
        <w:rPr>
          <w:rFonts w:ascii="仿宋" w:hAnsi="仿宋" w:eastAsia="仿宋" w:cs="仿宋"/>
          <w:bCs/>
          <w:sz w:val="24"/>
        </w:rPr>
      </w:pPr>
      <w:r>
        <w:rPr>
          <w:rFonts w:hint="eastAsia" w:ascii="仿宋" w:hAnsi="仿宋" w:eastAsia="仿宋" w:cs="仿宋"/>
          <w:bCs/>
          <w:sz w:val="24"/>
        </w:rPr>
        <w:t>5.1.3投标人应按照采购人批准文号，采用符合要求的包装材料。</w:t>
      </w:r>
    </w:p>
    <w:p>
      <w:pPr>
        <w:spacing w:line="360" w:lineRule="auto"/>
        <w:jc w:val="left"/>
        <w:rPr>
          <w:rFonts w:ascii="仿宋" w:hAnsi="仿宋" w:eastAsia="仿宋" w:cs="仿宋"/>
          <w:sz w:val="24"/>
        </w:rPr>
      </w:pPr>
      <w:r>
        <w:rPr>
          <w:rFonts w:hint="eastAsia" w:ascii="仿宋" w:hAnsi="仿宋" w:eastAsia="仿宋" w:cs="仿宋"/>
          <w:sz w:val="24"/>
        </w:rPr>
        <w:t>5.1.4投标人负责对制剂原料、辅料、包装材料投标人进行质量体系审计。医疗机构配制制剂使用的辅料和直接接触制剂的包装材料、容器等，应符合国家药监部门有关辅料、直接接触药品的包装材料和容器的管理规定，并符合医疗机构制剂批件相关要求。投标人不得使用临近效期3个月之内的原料、辅料及包装材料进行制剂配制，如违规使用所造成的责任由投标人承担。</w:t>
      </w:r>
    </w:p>
    <w:p>
      <w:pPr>
        <w:spacing w:line="360" w:lineRule="auto"/>
        <w:jc w:val="left"/>
        <w:rPr>
          <w:rFonts w:ascii="仿宋" w:hAnsi="仿宋" w:eastAsia="仿宋" w:cs="仿宋"/>
          <w:sz w:val="24"/>
        </w:rPr>
      </w:pPr>
      <w:r>
        <w:rPr>
          <w:rFonts w:hint="eastAsia" w:ascii="仿宋" w:hAnsi="仿宋" w:eastAsia="仿宋" w:cs="仿宋"/>
          <w:sz w:val="24"/>
        </w:rPr>
        <w:t>5.1.5投标人负责按照《中国药典》现行版和《北京市中药饮片炮制规范(2023年版)》等国家标准对中药饮片原料进行采购、验收、检验，并经审核放行后方可使用。</w:t>
      </w:r>
    </w:p>
    <w:p>
      <w:pPr>
        <w:spacing w:line="360" w:lineRule="auto"/>
        <w:jc w:val="left"/>
        <w:rPr>
          <w:rFonts w:ascii="仿宋" w:hAnsi="仿宋" w:eastAsia="仿宋" w:cs="仿宋"/>
          <w:sz w:val="24"/>
        </w:rPr>
      </w:pPr>
      <w:r>
        <w:rPr>
          <w:rFonts w:hint="eastAsia" w:ascii="仿宋" w:hAnsi="仿宋" w:eastAsia="仿宋" w:cs="仿宋"/>
          <w:sz w:val="24"/>
        </w:rPr>
        <w:t>5.1.6投标人负责按照《中国药典》现行版、《国家药包材标准》、行业标准或企业内部标准等对辅料及包装材料进行验收、检验，并经审核放行后方可使用。</w:t>
      </w:r>
    </w:p>
    <w:p>
      <w:pPr>
        <w:spacing w:line="360" w:lineRule="auto"/>
        <w:jc w:val="left"/>
        <w:rPr>
          <w:rFonts w:ascii="仿宋" w:hAnsi="仿宋" w:eastAsia="仿宋" w:cs="仿宋"/>
          <w:sz w:val="24"/>
        </w:rPr>
      </w:pPr>
      <w:r>
        <w:rPr>
          <w:rFonts w:hint="eastAsia" w:ascii="仿宋" w:hAnsi="仿宋" w:eastAsia="仿宋" w:cs="仿宋"/>
          <w:sz w:val="24"/>
        </w:rPr>
        <w:t>5.1.7投标人根据制剂包装彩盒/箱的图案、标签、说明书注册标准和标准说明书内容，及采购人要求核对设计样稿，实样需经采购人确认同意后，进行印刷使用。</w:t>
      </w:r>
    </w:p>
    <w:p>
      <w:pPr>
        <w:spacing w:line="360" w:lineRule="auto"/>
        <w:jc w:val="left"/>
        <w:rPr>
          <w:rFonts w:ascii="仿宋" w:hAnsi="仿宋" w:eastAsia="仿宋" w:cs="仿宋"/>
          <w:sz w:val="24"/>
        </w:rPr>
      </w:pPr>
      <w:r>
        <w:rPr>
          <w:rFonts w:hint="eastAsia" w:ascii="仿宋" w:hAnsi="仿宋" w:eastAsia="仿宋" w:cs="仿宋"/>
          <w:sz w:val="24"/>
        </w:rPr>
        <w:t>5.1.8投标人必须对采购人所委托配制制剂处方、工艺及质量标准保密，如果因投标人原因（包括主观故意和其它客观原因）造成处方失密，投标人应承担由此而产生的一切后果和责任，采购人保留追究投标人法律责任的权利。</w:t>
      </w:r>
    </w:p>
    <w:p>
      <w:pPr>
        <w:spacing w:line="360" w:lineRule="auto"/>
        <w:jc w:val="left"/>
        <w:rPr>
          <w:rFonts w:ascii="仿宋" w:hAnsi="仿宋" w:eastAsia="仿宋" w:cs="仿宋"/>
          <w:b/>
          <w:sz w:val="24"/>
        </w:rPr>
      </w:pPr>
      <w:r>
        <w:rPr>
          <w:rFonts w:hint="eastAsia" w:ascii="仿宋" w:hAnsi="仿宋" w:eastAsia="仿宋" w:cs="仿宋"/>
          <w:sz w:val="24"/>
        </w:rPr>
        <w:t>5.1.9采购人委托投标人配制的全部产品，投标人不得私自出售给第三方，否则需承担全部经济和法律责任。</w:t>
      </w:r>
    </w:p>
    <w:p>
      <w:pPr>
        <w:spacing w:line="360" w:lineRule="auto"/>
        <w:jc w:val="left"/>
        <w:rPr>
          <w:rFonts w:ascii="仿宋" w:hAnsi="仿宋" w:eastAsia="仿宋" w:cs="仿宋"/>
          <w:b/>
          <w:sz w:val="24"/>
        </w:rPr>
      </w:pPr>
      <w:r>
        <w:rPr>
          <w:rFonts w:hint="eastAsia" w:ascii="仿宋" w:hAnsi="仿宋" w:eastAsia="仿宋" w:cs="仿宋"/>
          <w:b/>
          <w:sz w:val="24"/>
        </w:rPr>
        <w:t>5.2工艺及设备：</w:t>
      </w:r>
    </w:p>
    <w:p>
      <w:pPr>
        <w:spacing w:line="360" w:lineRule="auto"/>
        <w:jc w:val="left"/>
        <w:rPr>
          <w:rFonts w:ascii="仿宋" w:hAnsi="仿宋" w:eastAsia="仿宋" w:cs="仿宋"/>
          <w:sz w:val="24"/>
        </w:rPr>
      </w:pPr>
      <w:r>
        <w:rPr>
          <w:rFonts w:hint="eastAsia" w:ascii="仿宋" w:hAnsi="仿宋" w:eastAsia="仿宋" w:cs="仿宋"/>
          <w:sz w:val="24"/>
        </w:rPr>
        <w:t>5.2.1生产过程能够严格地按照工艺规程和SOP操作，严格执行内控标准和质量标准，按批生产指令限额领料和投料。严格执行清场制度，物料平衡偏差处理并纳入批生产记录，成为产品放行审核的一项内容。</w:t>
      </w:r>
    </w:p>
    <w:p>
      <w:pPr>
        <w:spacing w:line="360" w:lineRule="auto"/>
        <w:jc w:val="left"/>
        <w:rPr>
          <w:rFonts w:ascii="仿宋" w:hAnsi="仿宋" w:eastAsia="仿宋" w:cs="仿宋"/>
          <w:sz w:val="24"/>
        </w:rPr>
      </w:pPr>
      <w:r>
        <w:rPr>
          <w:rFonts w:hint="eastAsia" w:ascii="仿宋" w:hAnsi="仿宋" w:eastAsia="仿宋" w:cs="仿宋"/>
          <w:sz w:val="24"/>
        </w:rPr>
        <w:t>5.2.2严格按照《药品管理法》和《药品生产质量管理规范》、《医疗机构制剂配制质量管理规范》等法规要求，把握同一操作间不得同时生产不同品种不同批号的药品，杜绝混淆和污染。严格控制质量控制点的要求，按照原料、半成品、成品的标准要求进行生产。真实准确的填写生产批记录。所用工艺用水均符合药典标准并经检验合格后，方可使用。</w:t>
      </w:r>
    </w:p>
    <w:p>
      <w:pPr>
        <w:spacing w:line="360" w:lineRule="auto"/>
        <w:jc w:val="left"/>
        <w:rPr>
          <w:rFonts w:ascii="仿宋" w:hAnsi="仿宋" w:eastAsia="仿宋" w:cs="仿宋"/>
          <w:sz w:val="24"/>
        </w:rPr>
      </w:pPr>
      <w:r>
        <w:rPr>
          <w:rFonts w:hint="eastAsia" w:ascii="仿宋" w:hAnsi="仿宋" w:eastAsia="仿宋" w:cs="仿宋"/>
          <w:sz w:val="24"/>
        </w:rPr>
        <w:t>5.2.3受托配制方除有相关配制资质外需有满足我方生产条件的生产环境、相应设备、储存环境和条件、相应生产技术人员、相应检验条件（人员及设备）。</w:t>
      </w:r>
    </w:p>
    <w:p>
      <w:pPr>
        <w:spacing w:line="360" w:lineRule="auto"/>
        <w:jc w:val="left"/>
        <w:rPr>
          <w:rFonts w:ascii="仿宋" w:hAnsi="仿宋" w:eastAsia="仿宋" w:cs="仿宋"/>
          <w:sz w:val="24"/>
        </w:rPr>
      </w:pPr>
      <w:r>
        <w:rPr>
          <w:rFonts w:hint="eastAsia" w:ascii="仿宋" w:hAnsi="仿宋" w:eastAsia="仿宋" w:cs="仿宋"/>
          <w:sz w:val="24"/>
        </w:rPr>
        <w:t>5.2.4根据北京市医疗机构制剂委托配制管理相关药监法规，首次受托配制单位（投标人）需先按采购人提供的制剂处方、质量标准、生产工艺等要求，完成三批验证和质量对比。采购人向北京市药品监督管理局备案医疗机构制剂委托配制（生产）手续，待批准后再正式开展制剂委托配制（生产）工作。投标人须承担本项工作所需的相关费用。</w:t>
      </w:r>
    </w:p>
    <w:p>
      <w:pPr>
        <w:spacing w:line="360" w:lineRule="auto"/>
        <w:jc w:val="left"/>
        <w:rPr>
          <w:rFonts w:ascii="仿宋" w:hAnsi="仿宋" w:eastAsia="仿宋" w:cs="仿宋"/>
          <w:sz w:val="24"/>
        </w:rPr>
      </w:pPr>
      <w:r>
        <w:rPr>
          <w:rFonts w:hint="eastAsia" w:ascii="仿宋" w:hAnsi="仿宋" w:eastAsia="仿宋" w:cs="仿宋"/>
          <w:sz w:val="24"/>
        </w:rPr>
        <w:t>5.2.5投标人具备配制医疗机构制剂所需的剂型、车间、设备、人员等完善的生产和质量管理能力，具有配制医疗机构制剂的经验和能力。</w:t>
      </w:r>
    </w:p>
    <w:p>
      <w:pPr>
        <w:spacing w:line="360" w:lineRule="auto"/>
        <w:jc w:val="left"/>
        <w:rPr>
          <w:rFonts w:ascii="仿宋" w:hAnsi="仿宋" w:eastAsia="仿宋" w:cs="仿宋"/>
          <w:sz w:val="24"/>
        </w:rPr>
      </w:pPr>
      <w:r>
        <w:rPr>
          <w:rFonts w:hint="eastAsia" w:ascii="仿宋" w:hAnsi="仿宋" w:eastAsia="仿宋" w:cs="仿宋"/>
          <w:sz w:val="24"/>
        </w:rPr>
        <w:t>5.2.6投标人必须对采购人所委托配制制剂处方、工艺及质量标准保密，如果因投标人原因（包括主观故意和其它客观原因）造成处方失密，投标人应承担由此而产生的一切后果和责任，采购人保留追究投标人法律责任的权利。</w:t>
      </w:r>
    </w:p>
    <w:p>
      <w:pPr>
        <w:spacing w:line="360" w:lineRule="auto"/>
        <w:jc w:val="left"/>
        <w:rPr>
          <w:rFonts w:ascii="仿宋" w:hAnsi="仿宋" w:eastAsia="仿宋" w:cs="仿宋"/>
          <w:sz w:val="24"/>
        </w:rPr>
      </w:pPr>
      <w:r>
        <w:rPr>
          <w:rFonts w:hint="eastAsia" w:ascii="仿宋" w:hAnsi="仿宋" w:eastAsia="仿宋" w:cs="仿宋"/>
          <w:sz w:val="24"/>
        </w:rPr>
        <w:t>5.2.7采购人委托投标人配制的全部产品，投标人不得私自出售给第三方，否则需承担全部经济和法律责任。</w:t>
      </w:r>
    </w:p>
    <w:p>
      <w:pPr>
        <w:spacing w:line="360" w:lineRule="auto"/>
        <w:jc w:val="left"/>
        <w:rPr>
          <w:rFonts w:ascii="仿宋" w:hAnsi="仿宋" w:eastAsia="仿宋" w:cs="仿宋"/>
          <w:b/>
          <w:sz w:val="24"/>
        </w:rPr>
      </w:pPr>
      <w:r>
        <w:rPr>
          <w:rFonts w:hint="eastAsia" w:ascii="仿宋" w:hAnsi="仿宋" w:eastAsia="仿宋" w:cs="仿宋"/>
          <w:b/>
          <w:sz w:val="24"/>
        </w:rPr>
        <w:t>6、生产计划、质量标准及成品交付验收</w:t>
      </w:r>
    </w:p>
    <w:p>
      <w:pPr>
        <w:spacing w:line="360" w:lineRule="auto"/>
        <w:jc w:val="left"/>
        <w:rPr>
          <w:rFonts w:ascii="仿宋" w:hAnsi="仿宋" w:eastAsia="仿宋" w:cs="仿宋"/>
          <w:sz w:val="24"/>
        </w:rPr>
      </w:pPr>
      <w:r>
        <w:rPr>
          <w:rFonts w:hint="eastAsia" w:ascii="仿宋" w:hAnsi="仿宋" w:eastAsia="仿宋" w:cs="仿宋"/>
          <w:sz w:val="24"/>
        </w:rPr>
        <w:t>6.1每个制剂品种每批生产计划批量不得少于招标文件要求的最小批量（见“1、采购招标的数量及规格”）。</w:t>
      </w:r>
    </w:p>
    <w:p>
      <w:pPr>
        <w:spacing w:line="360" w:lineRule="auto"/>
        <w:jc w:val="left"/>
        <w:rPr>
          <w:rFonts w:ascii="仿宋" w:hAnsi="仿宋" w:eastAsia="仿宋" w:cs="仿宋"/>
          <w:sz w:val="24"/>
        </w:rPr>
      </w:pPr>
      <w:r>
        <w:rPr>
          <w:rFonts w:hint="eastAsia" w:ascii="仿宋" w:hAnsi="仿宋" w:eastAsia="仿宋" w:cs="仿宋"/>
          <w:sz w:val="24"/>
        </w:rPr>
        <w:t>6.2生产计划采购人提前50日交予投标人，以便投标人安排生产。</w:t>
      </w:r>
    </w:p>
    <w:p>
      <w:pPr>
        <w:spacing w:line="360" w:lineRule="auto"/>
        <w:jc w:val="left"/>
        <w:rPr>
          <w:rFonts w:ascii="仿宋" w:hAnsi="仿宋" w:eastAsia="仿宋" w:cs="仿宋"/>
          <w:sz w:val="24"/>
        </w:rPr>
      </w:pPr>
      <w:r>
        <w:rPr>
          <w:rFonts w:hint="eastAsia" w:ascii="仿宋" w:hAnsi="仿宋" w:eastAsia="仿宋" w:cs="仿宋"/>
          <w:sz w:val="24"/>
        </w:rPr>
        <w:t>6.3投标人应在收到生产计划后60日内配制完成采购人所需产品，并将生产成品数量报给采购人。投标人按照采购人下达的生产计划进行生产，生产工艺严格按照法定标准进行。</w:t>
      </w:r>
    </w:p>
    <w:p>
      <w:pPr>
        <w:spacing w:line="360" w:lineRule="auto"/>
        <w:jc w:val="left"/>
        <w:rPr>
          <w:rFonts w:ascii="仿宋" w:hAnsi="仿宋" w:eastAsia="仿宋" w:cs="仿宋"/>
          <w:sz w:val="24"/>
        </w:rPr>
      </w:pPr>
      <w:r>
        <w:rPr>
          <w:rFonts w:hint="eastAsia" w:ascii="仿宋" w:hAnsi="仿宋" w:eastAsia="仿宋" w:cs="仿宋"/>
          <w:sz w:val="24"/>
        </w:rPr>
        <w:t>6.4配制完成的制剂送至采购人制定地点，由采购人与投标人共同完成交付验收。验收单据包括：制剂产品放行单、成品检验报告单、随货同行单等；成品验收内容包括：随机抽取样品，品种、数量、外观质量等。符合委托配制制剂质量标准视为检验合格。</w:t>
      </w:r>
    </w:p>
    <w:p>
      <w:pPr>
        <w:spacing w:line="360" w:lineRule="auto"/>
        <w:jc w:val="left"/>
        <w:rPr>
          <w:rFonts w:ascii="仿宋" w:hAnsi="仿宋" w:eastAsia="仿宋" w:cs="仿宋"/>
          <w:sz w:val="24"/>
        </w:rPr>
      </w:pPr>
      <w:r>
        <w:rPr>
          <w:rFonts w:hint="eastAsia" w:ascii="仿宋" w:hAnsi="仿宋" w:eastAsia="仿宋" w:cs="仿宋"/>
          <w:sz w:val="24"/>
        </w:rPr>
        <w:t>6.5投标人具备配制医疗机构制剂所需的质量人员、相应的检验仪器及健全的质量控制体系。</w:t>
      </w:r>
    </w:p>
    <w:p>
      <w:pPr>
        <w:spacing w:line="360" w:lineRule="auto"/>
        <w:jc w:val="left"/>
        <w:rPr>
          <w:rFonts w:ascii="仿宋" w:hAnsi="仿宋" w:eastAsia="仿宋" w:cs="仿宋"/>
          <w:sz w:val="24"/>
        </w:rPr>
      </w:pPr>
      <w:r>
        <w:rPr>
          <w:rFonts w:hint="eastAsia" w:ascii="仿宋" w:hAnsi="仿宋" w:eastAsia="仿宋" w:cs="仿宋"/>
          <w:sz w:val="24"/>
        </w:rPr>
        <w:t>6.6投标人应制定制剂品种的内控质量标准、过程质量控制、工艺规程等技术文件，包括制剂配制过程关键质量控制点和技术参数和质量指标等。</w:t>
      </w:r>
    </w:p>
    <w:p>
      <w:pPr>
        <w:spacing w:line="360" w:lineRule="auto"/>
        <w:jc w:val="left"/>
        <w:rPr>
          <w:rFonts w:ascii="仿宋" w:hAnsi="仿宋" w:eastAsia="仿宋" w:cs="仿宋"/>
          <w:b/>
          <w:sz w:val="24"/>
        </w:rPr>
      </w:pPr>
      <w:r>
        <w:rPr>
          <w:rFonts w:hint="eastAsia" w:ascii="仿宋" w:hAnsi="仿宋" w:eastAsia="仿宋" w:cs="仿宋"/>
          <w:b/>
          <w:sz w:val="24"/>
        </w:rPr>
        <w:t>7、仓储和运输</w:t>
      </w:r>
    </w:p>
    <w:p>
      <w:pPr>
        <w:spacing w:line="360" w:lineRule="auto"/>
        <w:jc w:val="left"/>
        <w:rPr>
          <w:rFonts w:ascii="仿宋" w:hAnsi="仿宋" w:eastAsia="仿宋" w:cs="仿宋"/>
          <w:sz w:val="24"/>
        </w:rPr>
      </w:pPr>
      <w:r>
        <w:rPr>
          <w:rFonts w:hint="eastAsia" w:ascii="仿宋" w:hAnsi="仿宋" w:eastAsia="仿宋" w:cs="仿宋"/>
          <w:sz w:val="24"/>
        </w:rPr>
        <w:t>7.1投标人应依据《药品管理法》、《药品生产质量管理规范》、《医疗机构制剂配制质量管理规范》等法规要求，《药典》（现行）的相关规定，按照委托配制制剂的质量标准，对原料、饮片、辅料、包装材料、制剂成品规定的贮藏、养护要求和条件进行贮存。</w:t>
      </w:r>
    </w:p>
    <w:p>
      <w:pPr>
        <w:spacing w:line="360" w:lineRule="auto"/>
        <w:jc w:val="left"/>
        <w:rPr>
          <w:rFonts w:ascii="仿宋" w:hAnsi="仿宋" w:eastAsia="仿宋" w:cs="仿宋"/>
          <w:sz w:val="24"/>
        </w:rPr>
      </w:pPr>
      <w:r>
        <w:rPr>
          <w:rFonts w:hint="eastAsia" w:ascii="仿宋" w:hAnsi="仿宋" w:eastAsia="仿宋" w:cs="仿宋"/>
          <w:sz w:val="24"/>
        </w:rPr>
        <w:t>7.2成品交付前，由投标人负责制剂成品的储藏和运输质量责任。</w:t>
      </w:r>
    </w:p>
    <w:p>
      <w:pPr>
        <w:spacing w:line="360" w:lineRule="auto"/>
        <w:jc w:val="left"/>
        <w:rPr>
          <w:rFonts w:ascii="仿宋" w:hAnsi="仿宋" w:eastAsia="仿宋" w:cs="仿宋"/>
          <w:sz w:val="24"/>
        </w:rPr>
      </w:pPr>
      <w:r>
        <w:rPr>
          <w:rFonts w:hint="eastAsia" w:ascii="仿宋" w:hAnsi="仿宋" w:eastAsia="仿宋" w:cs="仿宋"/>
          <w:sz w:val="24"/>
        </w:rPr>
        <w:t>7.3投标人应负责对配制完成的制剂产品进行运输，按照采购人的要求，运送到指定的地点。</w:t>
      </w:r>
    </w:p>
    <w:p>
      <w:pPr>
        <w:spacing w:line="360" w:lineRule="auto"/>
        <w:jc w:val="left"/>
        <w:rPr>
          <w:rFonts w:ascii="仿宋" w:hAnsi="仿宋" w:eastAsia="仿宋" w:cs="仿宋"/>
          <w:sz w:val="24"/>
        </w:rPr>
      </w:pPr>
      <w:r>
        <w:rPr>
          <w:rFonts w:hint="eastAsia" w:ascii="仿宋" w:hAnsi="仿宋" w:eastAsia="仿宋" w:cs="宋体"/>
          <w:kern w:val="0"/>
          <w:szCs w:val="21"/>
        </w:rPr>
        <w:t>7</w:t>
      </w:r>
      <w:r>
        <w:rPr>
          <w:rFonts w:hint="eastAsia" w:ascii="仿宋" w:hAnsi="仿宋" w:eastAsia="仿宋" w:cs="仿宋"/>
          <w:sz w:val="24"/>
        </w:rPr>
        <w:t>.4投标人应有与委托配制制剂所需的原料、饮片、辅料、包装材料；以及满足制剂配制所需原辅料、制剂成品等物资的贮藏要求、存储能力、备货数量的库房条件，面积和设施；并具备配制、运输、发放全过程的仓储、运输等保障能力。</w:t>
      </w:r>
    </w:p>
    <w:p>
      <w:pPr>
        <w:spacing w:line="360" w:lineRule="auto"/>
        <w:jc w:val="left"/>
        <w:rPr>
          <w:rFonts w:ascii="仿宋" w:hAnsi="仿宋" w:eastAsia="仿宋" w:cs="仿宋"/>
          <w:sz w:val="24"/>
        </w:rPr>
      </w:pPr>
      <w:r>
        <w:rPr>
          <w:rFonts w:hint="eastAsia" w:ascii="仿宋" w:hAnsi="仿宋" w:eastAsia="仿宋" w:cs="仿宋"/>
          <w:sz w:val="24"/>
        </w:rPr>
        <w:t>7.5投标人应具备常温库、阴凉库、冷库等；其仓储总面积≥</w:t>
      </w:r>
      <w:r>
        <w:rPr>
          <w:rFonts w:hint="eastAsia" w:ascii="仿宋" w:hAnsi="仿宋" w:eastAsia="仿宋" w:cs="仿宋"/>
          <w:color w:val="C00000"/>
          <w:sz w:val="24"/>
        </w:rPr>
        <w:t>1500</w:t>
      </w:r>
      <w:r>
        <w:rPr>
          <w:rFonts w:hint="eastAsia" w:ascii="仿宋" w:hAnsi="仿宋" w:eastAsia="仿宋" w:cs="仿宋"/>
          <w:sz w:val="24"/>
        </w:rPr>
        <w:t>㎡，具备委托配制制剂的专用库或专用区域。其中成品库总面积面积≥</w:t>
      </w:r>
      <w:r>
        <w:rPr>
          <w:rFonts w:hint="eastAsia" w:ascii="仿宋" w:hAnsi="仿宋" w:eastAsia="仿宋" w:cs="仿宋"/>
          <w:color w:val="C00000"/>
          <w:sz w:val="24"/>
        </w:rPr>
        <w:t>700</w:t>
      </w:r>
      <w:r>
        <w:rPr>
          <w:rFonts w:hint="eastAsia" w:ascii="仿宋" w:hAnsi="仿宋" w:eastAsia="仿宋" w:cs="仿宋"/>
          <w:sz w:val="24"/>
        </w:rPr>
        <w:t>㎡；阴凉库面积≥</w:t>
      </w:r>
      <w:r>
        <w:rPr>
          <w:rFonts w:hint="eastAsia" w:ascii="仿宋" w:hAnsi="仿宋" w:eastAsia="仿宋" w:cs="仿宋"/>
          <w:color w:val="C00000"/>
          <w:sz w:val="24"/>
        </w:rPr>
        <w:t>300</w:t>
      </w:r>
      <w:r>
        <w:rPr>
          <w:rFonts w:hint="eastAsia" w:ascii="仿宋" w:hAnsi="仿宋" w:eastAsia="仿宋" w:cs="仿宋"/>
          <w:sz w:val="24"/>
        </w:rPr>
        <w:t>㎡。</w:t>
      </w:r>
    </w:p>
    <w:p>
      <w:pPr>
        <w:spacing w:line="360" w:lineRule="auto"/>
        <w:jc w:val="left"/>
        <w:rPr>
          <w:rFonts w:ascii="仿宋" w:hAnsi="仿宋" w:eastAsia="仿宋" w:cs="仿宋"/>
          <w:sz w:val="24"/>
        </w:rPr>
      </w:pPr>
      <w:r>
        <w:rPr>
          <w:rFonts w:hint="eastAsia" w:ascii="仿宋" w:hAnsi="仿宋" w:eastAsia="仿宋" w:cs="仿宋"/>
          <w:sz w:val="24"/>
        </w:rPr>
        <w:t>7.6投标人应提供完善合理的仓储日常管理方案，有良好的仓储管理机制、有良好的饮片养护方案及防蛀、防潮、防霉等设施；库房管理制度全面、仓库内外环境无污染源，仓储、养护和运输条件符合《药品生产质量管理规范》的相关规定，保障制剂配制所需物料和成品的贮存质量。</w:t>
      </w:r>
    </w:p>
    <w:p>
      <w:pPr>
        <w:spacing w:line="360" w:lineRule="auto"/>
        <w:jc w:val="left"/>
        <w:rPr>
          <w:rFonts w:ascii="仿宋" w:hAnsi="仿宋" w:eastAsia="仿宋" w:cs="仿宋"/>
          <w:b/>
          <w:sz w:val="24"/>
        </w:rPr>
      </w:pPr>
      <w:r>
        <w:rPr>
          <w:rFonts w:hint="eastAsia" w:ascii="仿宋" w:hAnsi="仿宋" w:eastAsia="仿宋" w:cs="仿宋"/>
          <w:b/>
          <w:sz w:val="24"/>
        </w:rPr>
        <w:t>8、应急预案</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投标人针对急需供货、物流紧急问题保障、质量问题处理以及提前识别和预防可能发生的重大隐患事故、突发疫情、保障中药饮片安全和供应等方面，有完善的应急预案。</w:t>
      </w:r>
    </w:p>
    <w:p>
      <w:pPr>
        <w:spacing w:line="360" w:lineRule="auto"/>
        <w:jc w:val="left"/>
        <w:rPr>
          <w:rFonts w:ascii="仿宋" w:hAnsi="仿宋" w:eastAsia="仿宋" w:cs="仿宋"/>
          <w:b/>
          <w:sz w:val="24"/>
        </w:rPr>
      </w:pPr>
      <w:r>
        <w:rPr>
          <w:rFonts w:hint="eastAsia" w:ascii="仿宋" w:hAnsi="仿宋" w:eastAsia="仿宋" w:cs="仿宋"/>
          <w:b/>
          <w:sz w:val="24"/>
        </w:rPr>
        <w:t>9、售后服务要求</w:t>
      </w:r>
    </w:p>
    <w:p>
      <w:pPr>
        <w:spacing w:line="360" w:lineRule="auto"/>
        <w:jc w:val="left"/>
        <w:rPr>
          <w:rFonts w:ascii="仿宋" w:hAnsi="仿宋" w:eastAsia="仿宋" w:cs="仿宋"/>
          <w:sz w:val="24"/>
        </w:rPr>
      </w:pPr>
      <w:r>
        <w:rPr>
          <w:rFonts w:hint="eastAsia" w:ascii="仿宋" w:hAnsi="仿宋" w:eastAsia="仿宋" w:cs="仿宋"/>
          <w:sz w:val="24"/>
        </w:rPr>
        <w:t>9.1投标人按照采购方指定地点（首都儿科研究所附属儿童医院药学部各药房）及方式完成产品的运输、装卸，并协助接收人员放置入库。</w:t>
      </w:r>
    </w:p>
    <w:p>
      <w:pPr>
        <w:spacing w:line="360" w:lineRule="auto"/>
        <w:jc w:val="left"/>
        <w:rPr>
          <w:rFonts w:ascii="仿宋" w:hAnsi="仿宋" w:eastAsia="仿宋" w:cs="仿宋"/>
          <w:sz w:val="24"/>
        </w:rPr>
      </w:pPr>
      <w:r>
        <w:rPr>
          <w:rFonts w:hint="eastAsia" w:ascii="仿宋" w:hAnsi="仿宋" w:eastAsia="仿宋" w:cs="仿宋"/>
          <w:sz w:val="24"/>
        </w:rPr>
        <w:t>9.2采购人与投标人共同交付验收时，发生单据短缺、不符、错误等情况，不予接收；对开箱抽检时发现的污渍、破损等产品，本批次产品不予接收。</w:t>
      </w:r>
    </w:p>
    <w:p>
      <w:pPr>
        <w:spacing w:line="360" w:lineRule="auto"/>
        <w:jc w:val="left"/>
        <w:rPr>
          <w:rFonts w:ascii="仿宋" w:hAnsi="仿宋" w:eastAsia="仿宋" w:cs="仿宋"/>
          <w:b/>
          <w:bCs/>
          <w:sz w:val="24"/>
        </w:rPr>
      </w:pPr>
      <w:r>
        <w:rPr>
          <w:rFonts w:ascii="仿宋" w:hAnsi="仿宋" w:eastAsia="仿宋" w:cs="仿宋"/>
          <w:b/>
          <w:bCs/>
          <w:sz w:val="24"/>
        </w:rPr>
        <w:t>10、项目服务团队</w:t>
      </w:r>
    </w:p>
    <w:p>
      <w:pPr>
        <w:spacing w:line="360" w:lineRule="auto"/>
        <w:jc w:val="left"/>
        <w:rPr>
          <w:rFonts w:ascii="仿宋" w:hAnsi="仿宋" w:eastAsia="仿宋" w:cs="仿宋"/>
          <w:sz w:val="24"/>
        </w:rPr>
      </w:pPr>
      <w:r>
        <w:rPr>
          <w:rFonts w:hint="eastAsia" w:ascii="仿宋" w:hAnsi="仿宋" w:eastAsia="仿宋" w:cs="仿宋"/>
          <w:sz w:val="24"/>
        </w:rPr>
        <w:t>10.1投标人应具有完善合理的人员组织机构和质量管理体系流程图，服务团队人员配备合理，职责分工明确，对项目实际需要的契合度高，能够保障本项目实施。</w:t>
      </w:r>
    </w:p>
    <w:p>
      <w:pPr>
        <w:spacing w:line="360" w:lineRule="auto"/>
        <w:jc w:val="left"/>
        <w:rPr>
          <w:rFonts w:ascii="仿宋" w:hAnsi="仿宋" w:eastAsia="仿宋" w:cs="仿宋"/>
          <w:sz w:val="24"/>
        </w:rPr>
      </w:pPr>
      <w:r>
        <w:rPr>
          <w:rFonts w:hint="eastAsia" w:ascii="仿宋" w:hAnsi="仿宋" w:eastAsia="仿宋" w:cs="仿宋"/>
          <w:sz w:val="24"/>
        </w:rPr>
        <w:t>10.2投标人应提供完整的项目服务团队成员名单，其中至少包含1名项目经理。</w:t>
      </w:r>
    </w:p>
    <w:p>
      <w:pPr>
        <w:spacing w:line="360" w:lineRule="auto"/>
        <w:jc w:val="left"/>
        <w:rPr>
          <w:rFonts w:ascii="仿宋" w:hAnsi="仿宋" w:eastAsia="仿宋" w:cs="仿宋"/>
          <w:b/>
          <w:bCs/>
          <w:sz w:val="24"/>
        </w:rPr>
      </w:pPr>
      <w:r>
        <w:rPr>
          <w:rFonts w:ascii="仿宋" w:hAnsi="仿宋" w:eastAsia="仿宋" w:cs="仿宋"/>
          <w:b/>
          <w:bCs/>
          <w:sz w:val="24"/>
        </w:rPr>
        <w:t>11、付款方式和条件：</w:t>
      </w:r>
    </w:p>
    <w:p>
      <w:pPr>
        <w:spacing w:line="360" w:lineRule="auto"/>
        <w:jc w:val="left"/>
        <w:rPr>
          <w:rFonts w:ascii="仿宋" w:hAnsi="仿宋" w:eastAsia="仿宋" w:cs="仿宋"/>
          <w:sz w:val="24"/>
        </w:rPr>
      </w:pPr>
      <w:r>
        <w:rPr>
          <w:rFonts w:hint="eastAsia" w:ascii="仿宋" w:hAnsi="仿宋" w:eastAsia="仿宋" w:cs="仿宋"/>
          <w:sz w:val="24"/>
        </w:rPr>
        <w:t>11.1双方因本合同发生的一切费用均以人民币结算及支付。</w:t>
      </w:r>
    </w:p>
    <w:p>
      <w:pPr>
        <w:spacing w:line="360" w:lineRule="auto"/>
        <w:jc w:val="left"/>
        <w:rPr>
          <w:rFonts w:ascii="仿宋" w:hAnsi="仿宋" w:eastAsia="仿宋" w:cs="仿宋"/>
          <w:sz w:val="24"/>
        </w:rPr>
      </w:pPr>
      <w:r>
        <w:rPr>
          <w:rFonts w:hint="eastAsia" w:ascii="仿宋" w:hAnsi="仿宋" w:eastAsia="仿宋" w:cs="仿宋"/>
          <w:sz w:val="24"/>
        </w:rPr>
        <w:t>11.2配制费包括但不限于原料、辅料、包材、第三方检验费、人工费、运输费、装卸费、投入设备车辆费、各项税费、不可预见费等所需的一切费用，如再产生额外费用，均由投标人自行承担，采购人将不再另支付任何费用。配制费结算以最终实际发生为准。</w:t>
      </w:r>
    </w:p>
    <w:p>
      <w:pPr>
        <w:spacing w:line="360" w:lineRule="auto"/>
        <w:jc w:val="left"/>
        <w:rPr>
          <w:rFonts w:ascii="仿宋" w:hAnsi="仿宋" w:eastAsia="仿宋" w:cs="仿宋"/>
          <w:sz w:val="24"/>
        </w:rPr>
      </w:pPr>
      <w:r>
        <w:rPr>
          <w:rFonts w:hint="eastAsia" w:ascii="仿宋" w:hAnsi="仿宋" w:eastAsia="仿宋" w:cs="仿宋"/>
          <w:sz w:val="24"/>
        </w:rPr>
        <w:t>11.3投标人配制生产完成后一周内及时将生产成品数量报给采购人。经采购人验收入库后可以开具发票，结算周期为30天。</w:t>
      </w:r>
    </w:p>
    <w:p>
      <w:pPr>
        <w:widowControl/>
        <w:spacing w:line="360" w:lineRule="auto"/>
        <w:jc w:val="left"/>
        <w:rPr>
          <w:rFonts w:ascii="仿宋" w:hAnsi="仿宋" w:eastAsia="仿宋" w:cs="仿宋"/>
          <w:sz w:val="24"/>
        </w:rPr>
      </w:pPr>
      <w:r>
        <w:rPr>
          <w:rFonts w:hint="eastAsia" w:ascii="仿宋" w:hAnsi="仿宋" w:eastAsia="仿宋" w:cs="仿宋"/>
          <w:sz w:val="24"/>
        </w:rPr>
        <w:t>11.4由于各品种总数量为预估的年使用量，在品种单价不变和不超过合同总价的情况下，各个品种数量及批次根据临床用量进行调整，配制费最终以实际发生数量结算。</w:t>
      </w:r>
    </w:p>
    <w:p>
      <w:pPr>
        <w:jc w:val="both"/>
        <w:rPr>
          <w:rFonts w:hint="default"/>
          <w:b/>
          <w:bCs/>
          <w:sz w:val="32"/>
          <w:szCs w:val="40"/>
          <w:lang w:val="en-US" w:eastAsia="zh-CN"/>
        </w:rPr>
      </w:pPr>
      <w:bookmarkStart w:id="0" w:name="_GoBack"/>
      <w:bookmarkEnd w:id="0"/>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54</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54</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1A5C1B34"/>
    <w:rsid w:val="25E45985"/>
    <w:rsid w:val="3D687217"/>
    <w:rsid w:val="4B7E2B6C"/>
    <w:rsid w:val="5D9D153B"/>
    <w:rsid w:val="63BC2976"/>
    <w:rsid w:val="64B67AC4"/>
    <w:rsid w:val="67A7655C"/>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6">
    <w:name w:val="annotation text"/>
    <w:basedOn w:val="1"/>
    <w:qFormat/>
    <w:uiPriority w:val="99"/>
    <w:pPr>
      <w:jc w:val="left"/>
    </w:pPr>
  </w:style>
  <w:style w:type="paragraph" w:styleId="7">
    <w:name w:val="Body Text"/>
    <w:basedOn w:val="1"/>
    <w:qFormat/>
    <w:uiPriority w:val="99"/>
    <w:pPr>
      <w:tabs>
        <w:tab w:val="left" w:pos="567"/>
      </w:tabs>
      <w:spacing w:before="120" w:line="22" w:lineRule="atLeast"/>
    </w:pPr>
    <w:rPr>
      <w:rFonts w:ascii="宋体" w:hAnsi="宋体"/>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character" w:customStyle="1" w:styleId="19">
    <w:name w:val="font01"/>
    <w:basedOn w:val="14"/>
    <w:qFormat/>
    <w:uiPriority w:val="0"/>
    <w:rPr>
      <w:rFonts w:hint="eastAsia" w:ascii="宋体" w:hAnsi="宋体" w:eastAsia="宋体" w:cs="宋体"/>
      <w:color w:val="000000"/>
      <w:sz w:val="22"/>
      <w:szCs w:val="22"/>
      <w:u w:val="none"/>
    </w:rPr>
  </w:style>
  <w:style w:type="character" w:customStyle="1" w:styleId="20">
    <w:name w:val="font31"/>
    <w:basedOn w:val="14"/>
    <w:qFormat/>
    <w:uiPriority w:val="0"/>
    <w:rPr>
      <w:rFonts w:ascii="Tahoma" w:hAnsi="Tahoma" w:eastAsia="Tahoma" w:cs="Tahoma"/>
      <w:color w:val="000000"/>
      <w:sz w:val="22"/>
      <w:szCs w:val="22"/>
      <w:u w:val="none"/>
    </w:rPr>
  </w:style>
  <w:style w:type="character" w:customStyle="1" w:styleId="21">
    <w:name w:val="font11"/>
    <w:basedOn w:val="14"/>
    <w:qFormat/>
    <w:uiPriority w:val="0"/>
    <w:rPr>
      <w:rFonts w:hint="eastAsia" w:ascii="宋体" w:hAnsi="宋体" w:eastAsia="宋体" w:cs="宋体"/>
      <w:color w:val="000000"/>
      <w:sz w:val="22"/>
      <w:szCs w:val="22"/>
      <w:u w:val="none"/>
    </w:rPr>
  </w:style>
  <w:style w:type="character" w:customStyle="1" w:styleId="22">
    <w:name w:val="font2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2025-03-18T05:47:14Z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