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6"/>
          <w:szCs w:val="44"/>
          <w:lang w:val="en-US" w:eastAsia="zh-CN"/>
        </w:rPr>
      </w:pPr>
      <w:r>
        <w:rPr>
          <w:rFonts w:hint="eastAsia"/>
          <w:b/>
          <w:bCs/>
          <w:sz w:val="36"/>
          <w:szCs w:val="44"/>
          <w:lang w:val="en-US" w:eastAsia="zh-CN"/>
        </w:rPr>
        <w:t>医院安防系统的维护与保养项目采购需求</w:t>
      </w:r>
    </w:p>
    <w:p>
      <w:pPr>
        <w:pStyle w:val="19"/>
        <w:spacing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9"/>
        <w:tabs>
          <w:tab w:val="left" w:pos="7980"/>
        </w:tabs>
        <w:snapToGrid/>
        <w:spacing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医院安防系统的维护与保养，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9"/>
        <w:snapToGrid/>
        <w:spacing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20"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中型、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9"/>
        <w:numPr>
          <w:ilvl w:val="0"/>
          <w:numId w:val="1"/>
        </w:numPr>
        <w:spacing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9"/>
        <w:numPr>
          <w:ilvl w:val="0"/>
          <w:numId w:val="1"/>
        </w:numPr>
        <w:spacing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20"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9"/>
        <w:spacing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kern w:val="0"/>
          <w:sz w:val="24"/>
        </w:rPr>
        <w:t>如有最新标准或要求按最新的国家或北京市相关规定执行符合已颁布的现行中华人民共和国认可的国家标准、地方标准和行业标准。如果这些标准内容有矛盾时，应按最高标准的条款执行。</w:t>
      </w:r>
    </w:p>
    <w:p>
      <w:pPr>
        <w:pStyle w:val="19"/>
        <w:spacing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noWrap/>
            <w:vAlign w:val="center"/>
          </w:tcPr>
          <w:p>
            <w:pPr>
              <w:jc w:val="center"/>
              <w:rPr>
                <w:rFonts w:ascii="仿宋_GB2312" w:hAnsi="仿宋" w:eastAsia="仿宋_GB2312"/>
                <w:sz w:val="24"/>
              </w:rPr>
            </w:pPr>
            <w:r>
              <w:rPr>
                <w:rFonts w:hint="eastAsia" w:ascii="仿宋_GB2312" w:hAnsi="仿宋" w:eastAsia="仿宋_GB2312"/>
                <w:sz w:val="24"/>
              </w:rPr>
              <w:t>1</w:t>
            </w:r>
          </w:p>
        </w:tc>
        <w:tc>
          <w:tcPr>
            <w:tcW w:w="2553" w:type="pct"/>
            <w:noWrap w:val="0"/>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医院安防系统的维护与保养</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noWrap w:val="0"/>
            <w:vAlign w:val="center"/>
          </w:tcPr>
          <w:p>
            <w:pPr>
              <w:widowControl/>
              <w:jc w:val="center"/>
              <w:rPr>
                <w:rFonts w:ascii="仿宋" w:hAnsi="仿宋" w:eastAsia="仿宋"/>
                <w:sz w:val="24"/>
              </w:rPr>
            </w:pPr>
            <w:r>
              <w:rPr>
                <w:rFonts w:hint="eastAsia" w:ascii="仿宋" w:hAnsi="仿宋" w:eastAsia="仿宋"/>
                <w:sz w:val="24"/>
              </w:rPr>
              <w:t>否</w:t>
            </w:r>
          </w:p>
        </w:tc>
      </w:tr>
    </w:tbl>
    <w:p>
      <w:pPr>
        <w:pStyle w:val="19"/>
        <w:snapToGrid/>
        <w:spacing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20"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采购项目（标的）交付的时间（服务期限）：2025年1月1日至2026年12月31日，一次招标两年有效，合同一年一签订。</w:t>
      </w:r>
    </w:p>
    <w:p>
      <w:pPr>
        <w:pStyle w:val="19"/>
        <w:spacing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9"/>
        <w:spacing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9"/>
        <w:spacing w:before="120"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20" w:beforeLines="50" w:line="360" w:lineRule="auto"/>
        <w:rPr>
          <w:rStyle w:val="18"/>
        </w:rPr>
      </w:pPr>
      <w:r>
        <w:rPr>
          <w:rFonts w:hint="eastAsia" w:ascii="仿宋" w:hAnsi="仿宋" w:eastAsia="仿宋"/>
          <w:sz w:val="24"/>
        </w:rPr>
        <w:t>服务期限：2025年1月1日至2026年12月31日，一次招标两年有效，合同一年一签订。</w:t>
      </w:r>
    </w:p>
    <w:p>
      <w:pPr>
        <w:pStyle w:val="19"/>
        <w:spacing w:beforeLines="50" w:line="360" w:lineRule="auto"/>
        <w:ind w:firstLine="0"/>
        <w:rPr>
          <w:rFonts w:hint="eastAsia" w:ascii="仿宋" w:hAnsi="仿宋" w:eastAsia="仿宋"/>
          <w:b/>
          <w:szCs w:val="24"/>
        </w:rPr>
      </w:pPr>
      <w:r>
        <w:rPr>
          <w:rFonts w:hint="eastAsia" w:ascii="仿宋" w:hAnsi="仿宋" w:eastAsia="仿宋"/>
          <w:b/>
          <w:szCs w:val="24"/>
        </w:rPr>
        <w:t>五、采购标的物验收标准</w:t>
      </w:r>
    </w:p>
    <w:p>
      <w:pPr>
        <w:pStyle w:val="19"/>
        <w:spacing w:beforeLines="50" w:line="360" w:lineRule="auto"/>
        <w:ind w:firstLine="0"/>
        <w:rPr>
          <w:rFonts w:hint="eastAsia" w:ascii="仿宋" w:hAnsi="仿宋" w:eastAsia="仿宋"/>
          <w:szCs w:val="24"/>
        </w:rPr>
      </w:pPr>
      <w:r>
        <w:rPr>
          <w:rFonts w:hint="eastAsia" w:ascii="仿宋" w:hAnsi="仿宋" w:eastAsia="仿宋"/>
          <w:szCs w:val="24"/>
        </w:rPr>
        <w:t>1、严格遵守国家的法律法规和行业规范。</w:t>
      </w:r>
    </w:p>
    <w:p>
      <w:pPr>
        <w:pStyle w:val="19"/>
        <w:spacing w:beforeLines="50" w:line="360" w:lineRule="auto"/>
        <w:ind w:firstLine="0"/>
        <w:rPr>
          <w:rFonts w:hint="eastAsia" w:ascii="仿宋" w:hAnsi="仿宋" w:eastAsia="仿宋"/>
          <w:szCs w:val="24"/>
        </w:rPr>
      </w:pPr>
      <w:r>
        <w:rPr>
          <w:rFonts w:hint="eastAsia" w:ascii="仿宋" w:hAnsi="仿宋" w:eastAsia="仿宋"/>
          <w:szCs w:val="24"/>
        </w:rPr>
        <w:t>2、维保人员为中标单位专业技师。且必须保障2人24小时驻场。</w:t>
      </w:r>
    </w:p>
    <w:p>
      <w:pPr>
        <w:pStyle w:val="19"/>
        <w:spacing w:beforeLines="50" w:line="360" w:lineRule="auto"/>
        <w:ind w:firstLine="0"/>
        <w:rPr>
          <w:rFonts w:hint="eastAsia" w:ascii="仿宋" w:hAnsi="仿宋" w:eastAsia="仿宋"/>
          <w:szCs w:val="24"/>
        </w:rPr>
      </w:pPr>
      <w:r>
        <w:rPr>
          <w:rFonts w:hint="eastAsia" w:ascii="仿宋" w:hAnsi="仿宋" w:eastAsia="仿宋"/>
          <w:szCs w:val="24"/>
        </w:rPr>
        <w:t>3、弱电系统、设备发生故障后2小时内到达现场。</w:t>
      </w:r>
    </w:p>
    <w:p>
      <w:pPr>
        <w:pStyle w:val="19"/>
        <w:spacing w:beforeLines="50" w:line="360" w:lineRule="auto"/>
        <w:ind w:firstLine="0"/>
        <w:rPr>
          <w:rFonts w:hint="eastAsia" w:ascii="仿宋" w:hAnsi="仿宋" w:eastAsia="仿宋"/>
          <w:szCs w:val="24"/>
        </w:rPr>
      </w:pPr>
      <w:r>
        <w:rPr>
          <w:rFonts w:hint="eastAsia" w:ascii="仿宋" w:hAnsi="仿宋" w:eastAsia="仿宋"/>
          <w:szCs w:val="24"/>
        </w:rPr>
        <w:t>4、设备完好率须保证在98%以上。</w:t>
      </w:r>
    </w:p>
    <w:p>
      <w:pPr>
        <w:pStyle w:val="19"/>
        <w:spacing w:beforeLines="50" w:line="360" w:lineRule="auto"/>
        <w:ind w:firstLine="0"/>
        <w:rPr>
          <w:rFonts w:hint="eastAsia" w:ascii="仿宋" w:hAnsi="仿宋" w:eastAsia="仿宋"/>
          <w:szCs w:val="24"/>
        </w:rPr>
      </w:pPr>
      <w:r>
        <w:rPr>
          <w:rFonts w:hint="eastAsia" w:ascii="仿宋" w:hAnsi="仿宋" w:eastAsia="仿宋"/>
          <w:szCs w:val="24"/>
        </w:rPr>
        <w:t>5、设备配件从发现问题到更换、调试完毕不得超过24小时。</w:t>
      </w:r>
    </w:p>
    <w:p>
      <w:pPr>
        <w:pStyle w:val="19"/>
        <w:spacing w:beforeLines="50" w:line="360" w:lineRule="auto"/>
        <w:ind w:firstLine="0"/>
        <w:rPr>
          <w:rFonts w:hint="eastAsia" w:ascii="仿宋" w:hAnsi="仿宋" w:eastAsia="仿宋"/>
          <w:szCs w:val="24"/>
        </w:rPr>
      </w:pPr>
      <w:r>
        <w:rPr>
          <w:rFonts w:hint="eastAsia" w:ascii="仿宋" w:hAnsi="仿宋" w:eastAsia="仿宋"/>
          <w:szCs w:val="24"/>
        </w:rPr>
        <w:t xml:space="preserve">6、重大活动及法定节假日期间，配合采购人做好设备相关的巡检及保障工作。                </w:t>
      </w:r>
    </w:p>
    <w:p>
      <w:pPr>
        <w:pStyle w:val="19"/>
        <w:spacing w:beforeLines="50" w:line="360" w:lineRule="auto"/>
        <w:ind w:firstLine="0"/>
        <w:rPr>
          <w:rFonts w:ascii="仿宋" w:hAnsi="仿宋" w:eastAsia="仿宋"/>
          <w:szCs w:val="24"/>
        </w:rPr>
      </w:pPr>
      <w:r>
        <w:rPr>
          <w:rFonts w:hint="eastAsia" w:ascii="仿宋" w:hAnsi="仿宋" w:eastAsia="仿宋"/>
          <w:szCs w:val="24"/>
        </w:rPr>
        <w:t>7、提供相应的巡检记录单及保养记录单。</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20" w:beforeLines="50" w:line="360" w:lineRule="auto"/>
        <w:ind w:firstLine="480" w:firstLineChars="200"/>
        <w:rPr>
          <w:rFonts w:ascii="仿宋" w:hAnsi="仿宋" w:eastAsia="仿宋"/>
          <w:sz w:val="24"/>
        </w:rPr>
      </w:pPr>
      <w:r>
        <w:rPr>
          <w:rFonts w:hint="eastAsia" w:ascii="仿宋" w:hAnsi="仿宋" w:eastAsia="仿宋"/>
          <w:sz w:val="24"/>
        </w:rPr>
        <w:t>投标人需按照招标文件要求提供项目需求理解分析、服务实施与质量控制方案、医院安防系统的维护与保养服务方案、</w:t>
      </w:r>
      <w:r>
        <w:rPr>
          <w:rFonts w:hint="eastAsia" w:ascii="仿宋" w:hAnsi="仿宋" w:eastAsia="仿宋" w:cs="宋体"/>
          <w:kern w:val="0"/>
          <w:sz w:val="24"/>
          <w:szCs w:val="21"/>
        </w:rPr>
        <w:t>拟投入项目团队人员</w:t>
      </w:r>
      <w:r>
        <w:rPr>
          <w:rFonts w:hint="eastAsia" w:ascii="仿宋" w:hAnsi="仿宋" w:eastAsia="仿宋"/>
          <w:sz w:val="24"/>
        </w:rPr>
        <w:t>、内部管理制度方案、拟采取的应急事件处理预案和培训方案等。</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hint="eastAsia" w:ascii="仿宋" w:hAnsi="仿宋" w:eastAsia="仿宋"/>
          <w:b/>
          <w:sz w:val="24"/>
        </w:rPr>
      </w:pPr>
      <w:r>
        <w:rPr>
          <w:rFonts w:ascii="宋体" w:hAnsi="宋体"/>
          <w:szCs w:val="21"/>
        </w:rPr>
        <w:br w:type="page"/>
      </w: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医院安防系统的维护与保养</w:t>
      </w:r>
    </w:p>
    <w:p>
      <w:pPr>
        <w:spacing w:line="360" w:lineRule="auto"/>
        <w:contextualSpacing/>
        <w:rPr>
          <w:rFonts w:hint="eastAsia" w:ascii="仿宋" w:hAnsi="仿宋" w:eastAsia="仿宋"/>
          <w:b/>
          <w:bCs/>
          <w:sz w:val="24"/>
        </w:rPr>
      </w:pPr>
      <w:r>
        <w:rPr>
          <w:rFonts w:hint="eastAsia" w:ascii="仿宋" w:hAnsi="仿宋" w:eastAsia="仿宋"/>
          <w:b/>
          <w:bCs/>
          <w:sz w:val="24"/>
        </w:rPr>
        <w:t>一、项目内容：</w:t>
      </w:r>
    </w:p>
    <w:p>
      <w:pPr>
        <w:spacing w:line="360" w:lineRule="auto"/>
        <w:ind w:firstLine="480" w:firstLineChars="200"/>
        <w:contextualSpacing/>
        <w:rPr>
          <w:rFonts w:hint="eastAsia" w:ascii="仿宋" w:hAnsi="仿宋" w:eastAsia="仿宋" w:cs="宋体"/>
          <w:sz w:val="24"/>
        </w:rPr>
      </w:pPr>
      <w:r>
        <w:rPr>
          <w:rFonts w:hint="eastAsia" w:ascii="仿宋" w:hAnsi="仿宋" w:eastAsia="仿宋" w:cs="宋体"/>
          <w:sz w:val="24"/>
        </w:rPr>
        <w:t>对门诊楼、新门诊楼、病房楼、科研楼、科研楼东扩、儿保楼、感染消化楼、供应室、地下停车场等9栋建筑及院区、宿舍楼公共区域内所有安防设施设备进行日常运行维护、巡视、保养、保障、维修、测试等服务工作。</w:t>
      </w:r>
    </w:p>
    <w:p>
      <w:pPr>
        <w:spacing w:line="360" w:lineRule="auto"/>
        <w:contextualSpacing/>
        <w:rPr>
          <w:rFonts w:hint="eastAsia" w:ascii="仿宋" w:hAnsi="仿宋" w:eastAsia="仿宋" w:cs="宋体"/>
          <w:b/>
          <w:sz w:val="24"/>
        </w:rPr>
      </w:pPr>
      <w:r>
        <w:rPr>
          <w:rFonts w:hint="eastAsia" w:ascii="仿宋" w:hAnsi="仿宋" w:eastAsia="仿宋" w:cs="宋体"/>
          <w:b/>
          <w:sz w:val="24"/>
        </w:rPr>
        <w:t>二、服务要求</w:t>
      </w:r>
    </w:p>
    <w:tbl>
      <w:tblPr>
        <w:tblStyle w:val="15"/>
        <w:tblW w:w="5000" w:type="pct"/>
        <w:jc w:val="center"/>
        <w:tblLayout w:type="autofit"/>
        <w:tblCellMar>
          <w:top w:w="0" w:type="dxa"/>
          <w:left w:w="108" w:type="dxa"/>
          <w:bottom w:w="0" w:type="dxa"/>
          <w:right w:w="108" w:type="dxa"/>
        </w:tblCellMar>
      </w:tblPr>
      <w:tblGrid>
        <w:gridCol w:w="939"/>
        <w:gridCol w:w="1670"/>
        <w:gridCol w:w="5913"/>
      </w:tblGrid>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ascii="仿宋" w:hAnsi="仿宋" w:eastAsia="仿宋" w:cs="宋体"/>
                <w:b/>
                <w:bCs/>
                <w:color w:val="000000"/>
                <w:kern w:val="0"/>
                <w:sz w:val="24"/>
              </w:rPr>
            </w:pPr>
            <w:r>
              <w:rPr>
                <w:rFonts w:hint="eastAsia" w:ascii="仿宋" w:hAnsi="仿宋" w:eastAsia="仿宋" w:cs="宋体"/>
                <w:b/>
                <w:bCs/>
                <w:color w:val="000000"/>
                <w:kern w:val="0"/>
                <w:sz w:val="24"/>
              </w:rPr>
              <w:t>参数</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需求</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hint="eastAsia" w:ascii="仿宋" w:hAnsi="仿宋" w:eastAsia="仿宋" w:cs="宋体"/>
                <w:color w:val="000000"/>
                <w:kern w:val="0"/>
                <w:sz w:val="24"/>
              </w:rPr>
            </w:pPr>
            <w:r>
              <w:rPr>
                <w:rFonts w:hint="eastAsia" w:ascii="仿宋" w:hAnsi="仿宋" w:eastAsia="仿宋"/>
                <w:b/>
                <w:bCs/>
                <w:color w:val="000000"/>
                <w:sz w:val="24"/>
              </w:rPr>
              <w:t>（一）</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hint="eastAsia" w:ascii="仿宋" w:hAnsi="仿宋" w:eastAsia="仿宋" w:cs="宋体"/>
                <w:b/>
                <w:bCs/>
                <w:color w:val="000000"/>
                <w:kern w:val="0"/>
                <w:sz w:val="24"/>
              </w:rPr>
            </w:pPr>
            <w:r>
              <w:rPr>
                <w:rFonts w:hint="eastAsia" w:ascii="仿宋" w:hAnsi="仿宋" w:eastAsia="仿宋"/>
                <w:b/>
                <w:bCs/>
                <w:color w:val="000000"/>
                <w:sz w:val="24"/>
              </w:rPr>
              <w:t>技术条款</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hint="eastAsia" w:ascii="仿宋" w:hAnsi="仿宋" w:eastAsia="仿宋" w:cs="宋体"/>
                <w:b/>
                <w:bCs/>
                <w:color w:val="000000"/>
                <w:kern w:val="0"/>
                <w:sz w:val="24"/>
              </w:rPr>
            </w:pP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ascii="仿宋" w:hAnsi="仿宋" w:eastAsia="仿宋"/>
                <w:color w:val="000000"/>
                <w:kern w:val="0"/>
                <w:sz w:val="24"/>
              </w:rPr>
            </w:pPr>
            <w:r>
              <w:rPr>
                <w:rFonts w:hint="eastAsia" w:ascii="仿宋" w:hAnsi="仿宋" w:eastAsia="仿宋"/>
                <w:color w:val="000000"/>
                <w:sz w:val="24"/>
              </w:rPr>
              <w:t>1</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维保要求</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hint="eastAsia" w:ascii="仿宋" w:hAnsi="仿宋" w:eastAsia="仿宋"/>
                <w:sz w:val="24"/>
              </w:rPr>
            </w:pP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ascii="仿宋" w:hAnsi="仿宋" w:eastAsia="仿宋"/>
                <w:color w:val="000000"/>
                <w:sz w:val="24"/>
              </w:rPr>
            </w:pPr>
            <w:r>
              <w:rPr>
                <w:rFonts w:hint="eastAsia" w:ascii="仿宋" w:hAnsi="仿宋" w:eastAsia="仿宋"/>
                <w:color w:val="000000"/>
                <w:sz w:val="24"/>
              </w:rPr>
              <w:t>1.1</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ascii="仿宋" w:hAnsi="仿宋" w:eastAsia="仿宋"/>
                <w:color w:val="000000"/>
                <w:kern w:val="0"/>
                <w:sz w:val="24"/>
              </w:rPr>
            </w:pPr>
            <w:r>
              <w:rPr>
                <w:rFonts w:hint="eastAsia" w:ascii="仿宋" w:hAnsi="仿宋" w:eastAsia="仿宋"/>
                <w:color w:val="000000"/>
                <w:sz w:val="24"/>
              </w:rPr>
              <w:t>维修响应</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hint="eastAsia" w:ascii="仿宋" w:hAnsi="仿宋" w:eastAsia="仿宋"/>
                <w:color w:val="000000"/>
                <w:sz w:val="24"/>
              </w:rPr>
            </w:pPr>
            <w:r>
              <w:rPr>
                <w:rFonts w:hint="eastAsia" w:ascii="仿宋" w:hAnsi="仿宋" w:eastAsia="仿宋"/>
                <w:color w:val="000000"/>
                <w:sz w:val="24"/>
              </w:rPr>
              <w:t>1、采取驻场维护保养方式，全年全天驻场保障（节假日除外），节假日遇有突发情况，应急维修人员接到故障报修通知后，30分钟到达现场；</w:t>
            </w:r>
          </w:p>
          <w:p>
            <w:pPr>
              <w:spacing w:line="276" w:lineRule="auto"/>
              <w:contextualSpacing/>
              <w:rPr>
                <w:rFonts w:ascii="仿宋" w:hAnsi="仿宋" w:eastAsia="仿宋"/>
                <w:color w:val="000000"/>
                <w:sz w:val="24"/>
              </w:rPr>
            </w:pPr>
            <w:r>
              <w:rPr>
                <w:rFonts w:hint="eastAsia" w:ascii="仿宋" w:hAnsi="仿宋" w:eastAsia="仿宋"/>
                <w:color w:val="000000"/>
                <w:sz w:val="24"/>
              </w:rPr>
              <w:t>2、前端设备需更换备件的12小时更换完成；</w:t>
            </w:r>
          </w:p>
          <w:p>
            <w:pPr>
              <w:widowControl/>
              <w:spacing w:line="276" w:lineRule="auto"/>
              <w:contextualSpacing/>
              <w:jc w:val="left"/>
              <w:rPr>
                <w:rFonts w:ascii="仿宋" w:hAnsi="仿宋" w:eastAsia="仿宋"/>
                <w:color w:val="000000"/>
                <w:kern w:val="0"/>
                <w:sz w:val="24"/>
              </w:rPr>
            </w:pPr>
            <w:r>
              <w:rPr>
                <w:rFonts w:hint="eastAsia" w:ascii="仿宋" w:hAnsi="仿宋" w:eastAsia="仿宋"/>
                <w:color w:val="000000"/>
                <w:sz w:val="24"/>
              </w:rPr>
              <w:t>3、存储、终端设备需要更换或返厂维修的，需12小时内提供备用方案保障系统使用；</w:t>
            </w: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ascii="仿宋" w:hAnsi="仿宋" w:eastAsia="仿宋"/>
                <w:color w:val="000000"/>
                <w:sz w:val="24"/>
              </w:rPr>
            </w:pPr>
            <w:r>
              <w:rPr>
                <w:rFonts w:hint="eastAsia" w:ascii="仿宋" w:hAnsi="仿宋" w:eastAsia="仿宋"/>
                <w:color w:val="000000"/>
                <w:sz w:val="24"/>
              </w:rPr>
              <w:t>1.2</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前端设备</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left"/>
              <w:rPr>
                <w:rFonts w:ascii="仿宋" w:hAnsi="仿宋" w:eastAsia="仿宋"/>
                <w:color w:val="000000"/>
                <w:sz w:val="24"/>
              </w:rPr>
            </w:pPr>
            <w:r>
              <w:rPr>
                <w:rFonts w:hint="eastAsia" w:ascii="仿宋" w:hAnsi="仿宋" w:eastAsia="仿宋"/>
                <w:color w:val="000000"/>
                <w:sz w:val="24"/>
              </w:rPr>
              <w:t>1、摄像机焦距调整；</w:t>
            </w:r>
          </w:p>
          <w:p>
            <w:pPr>
              <w:widowControl/>
              <w:spacing w:line="276" w:lineRule="auto"/>
              <w:contextualSpacing/>
              <w:jc w:val="left"/>
              <w:rPr>
                <w:rFonts w:ascii="仿宋" w:hAnsi="仿宋" w:eastAsia="仿宋"/>
                <w:color w:val="000000"/>
                <w:sz w:val="24"/>
              </w:rPr>
            </w:pPr>
            <w:r>
              <w:rPr>
                <w:rFonts w:hint="eastAsia" w:ascii="仿宋" w:hAnsi="仿宋" w:eastAsia="仿宋"/>
                <w:color w:val="000000"/>
                <w:sz w:val="24"/>
              </w:rPr>
              <w:t>2、固件升级；</w:t>
            </w:r>
          </w:p>
          <w:p>
            <w:pPr>
              <w:widowControl/>
              <w:spacing w:line="276" w:lineRule="auto"/>
              <w:contextualSpacing/>
              <w:jc w:val="left"/>
              <w:rPr>
                <w:rFonts w:ascii="仿宋" w:hAnsi="仿宋" w:eastAsia="仿宋"/>
                <w:color w:val="000000"/>
                <w:sz w:val="24"/>
              </w:rPr>
            </w:pPr>
            <w:r>
              <w:rPr>
                <w:rFonts w:hint="eastAsia" w:ascii="仿宋" w:hAnsi="仿宋" w:eastAsia="仿宋"/>
                <w:color w:val="000000"/>
                <w:sz w:val="24"/>
              </w:rPr>
              <w:t>3、易损件（补光灯、电源）检查；</w:t>
            </w:r>
          </w:p>
          <w:p>
            <w:pPr>
              <w:widowControl/>
              <w:spacing w:line="276" w:lineRule="auto"/>
              <w:contextualSpacing/>
              <w:jc w:val="left"/>
              <w:rPr>
                <w:rFonts w:ascii="仿宋" w:hAnsi="仿宋" w:eastAsia="仿宋"/>
                <w:color w:val="000000"/>
                <w:sz w:val="24"/>
              </w:rPr>
            </w:pPr>
            <w:r>
              <w:rPr>
                <w:rFonts w:hint="eastAsia" w:ascii="仿宋" w:hAnsi="仿宋" w:eastAsia="仿宋"/>
                <w:color w:val="000000"/>
                <w:sz w:val="24"/>
              </w:rPr>
              <w:t>4、报警及联动抽测；</w:t>
            </w:r>
          </w:p>
          <w:p>
            <w:pPr>
              <w:widowControl/>
              <w:spacing w:line="276" w:lineRule="auto"/>
              <w:contextualSpacing/>
              <w:jc w:val="left"/>
              <w:rPr>
                <w:rFonts w:ascii="仿宋" w:hAnsi="仿宋" w:eastAsia="仿宋"/>
                <w:color w:val="000000"/>
                <w:sz w:val="24"/>
              </w:rPr>
            </w:pPr>
            <w:r>
              <w:rPr>
                <w:rFonts w:hint="eastAsia" w:ascii="仿宋" w:hAnsi="仿宋" w:eastAsia="仿宋"/>
                <w:color w:val="000000"/>
                <w:sz w:val="24"/>
              </w:rPr>
              <w:t>5、故障维修响应；</w:t>
            </w:r>
          </w:p>
          <w:p>
            <w:pPr>
              <w:widowControl/>
              <w:spacing w:line="276" w:lineRule="auto"/>
              <w:contextualSpacing/>
              <w:jc w:val="left"/>
              <w:rPr>
                <w:rFonts w:ascii="仿宋" w:hAnsi="仿宋" w:eastAsia="仿宋"/>
                <w:color w:val="000000"/>
                <w:sz w:val="24"/>
              </w:rPr>
            </w:pPr>
            <w:r>
              <w:rPr>
                <w:rFonts w:hint="eastAsia" w:ascii="仿宋" w:hAnsi="仿宋" w:eastAsia="仿宋"/>
                <w:color w:val="000000"/>
                <w:sz w:val="24"/>
              </w:rPr>
              <w:t>6、备件保障；</w:t>
            </w:r>
          </w:p>
          <w:p>
            <w:pPr>
              <w:widowControl/>
              <w:spacing w:line="276" w:lineRule="auto"/>
              <w:contextualSpacing/>
              <w:jc w:val="left"/>
              <w:rPr>
                <w:rFonts w:hint="eastAsia" w:ascii="仿宋" w:hAnsi="仿宋" w:eastAsia="仿宋"/>
                <w:color w:val="000000"/>
                <w:sz w:val="24"/>
              </w:rPr>
            </w:pPr>
            <w:r>
              <w:rPr>
                <w:rFonts w:hint="eastAsia" w:ascii="仿宋" w:hAnsi="仿宋" w:eastAsia="仿宋"/>
                <w:color w:val="000000"/>
                <w:sz w:val="24"/>
              </w:rPr>
              <w:t>7、频率为每月一次；</w:t>
            </w: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.3</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显示设备</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ascii="仿宋" w:hAnsi="仿宋" w:eastAsia="仿宋"/>
                <w:color w:val="000000"/>
                <w:sz w:val="24"/>
              </w:rPr>
            </w:pPr>
            <w:r>
              <w:rPr>
                <w:rFonts w:hint="eastAsia" w:ascii="仿宋" w:hAnsi="仿宋" w:eastAsia="仿宋"/>
                <w:color w:val="000000"/>
                <w:sz w:val="24"/>
              </w:rPr>
              <w:t>1、大屏及配套显示控制设备、解码器等软件（固件）升级；</w:t>
            </w:r>
          </w:p>
          <w:p>
            <w:pPr>
              <w:spacing w:line="276" w:lineRule="auto"/>
              <w:contextualSpacing/>
              <w:rPr>
                <w:rFonts w:ascii="仿宋" w:hAnsi="仿宋" w:eastAsia="仿宋"/>
                <w:color w:val="000000"/>
                <w:sz w:val="24"/>
              </w:rPr>
            </w:pPr>
            <w:r>
              <w:rPr>
                <w:rFonts w:hint="eastAsia" w:ascii="仿宋" w:hAnsi="仿宋" w:eastAsia="仿宋"/>
                <w:color w:val="000000"/>
                <w:sz w:val="24"/>
              </w:rPr>
              <w:t>2、显示系统功能测试；</w:t>
            </w:r>
          </w:p>
          <w:p>
            <w:pPr>
              <w:spacing w:line="276" w:lineRule="auto"/>
              <w:contextualSpacing/>
              <w:rPr>
                <w:rFonts w:ascii="仿宋" w:hAnsi="仿宋" w:eastAsia="仿宋"/>
                <w:color w:val="000000"/>
                <w:sz w:val="24"/>
              </w:rPr>
            </w:pPr>
            <w:r>
              <w:rPr>
                <w:rFonts w:hint="eastAsia" w:ascii="仿宋" w:hAnsi="仿宋" w:eastAsia="仿宋"/>
                <w:color w:val="000000"/>
                <w:sz w:val="24"/>
              </w:rPr>
              <w:t>3、定期色彩、亮度调整统一；</w:t>
            </w:r>
          </w:p>
          <w:p>
            <w:pPr>
              <w:spacing w:line="276" w:lineRule="auto"/>
              <w:contextualSpacing/>
              <w:rPr>
                <w:rFonts w:ascii="仿宋" w:hAnsi="仿宋" w:eastAsia="仿宋"/>
                <w:color w:val="000000"/>
                <w:sz w:val="24"/>
              </w:rPr>
            </w:pPr>
            <w:r>
              <w:rPr>
                <w:rFonts w:hint="eastAsia" w:ascii="仿宋" w:hAnsi="仿宋" w:eastAsia="仿宋"/>
                <w:color w:val="000000"/>
                <w:sz w:val="24"/>
              </w:rPr>
              <w:t>4、故障维修响应；</w:t>
            </w:r>
          </w:p>
          <w:p>
            <w:pPr>
              <w:spacing w:line="276" w:lineRule="auto"/>
              <w:contextualSpacing/>
              <w:rPr>
                <w:rFonts w:ascii="仿宋" w:hAnsi="仿宋" w:eastAsia="仿宋"/>
                <w:color w:val="000000"/>
                <w:sz w:val="24"/>
              </w:rPr>
            </w:pPr>
            <w:r>
              <w:rPr>
                <w:rFonts w:hint="eastAsia" w:ascii="仿宋" w:hAnsi="仿宋" w:eastAsia="仿宋"/>
                <w:color w:val="000000"/>
                <w:sz w:val="24"/>
              </w:rPr>
              <w:t>5、备件保障；</w:t>
            </w:r>
          </w:p>
          <w:p>
            <w:pPr>
              <w:spacing w:line="276" w:lineRule="auto"/>
              <w:contextualSpacing/>
              <w:rPr>
                <w:rFonts w:hint="eastAsia" w:ascii="仿宋" w:hAnsi="仿宋" w:eastAsia="仿宋"/>
                <w:color w:val="000000"/>
                <w:sz w:val="24"/>
              </w:rPr>
            </w:pPr>
            <w:r>
              <w:rPr>
                <w:rFonts w:hint="eastAsia" w:ascii="仿宋" w:hAnsi="仿宋" w:eastAsia="仿宋"/>
                <w:color w:val="000000"/>
                <w:sz w:val="24"/>
              </w:rPr>
              <w:t>6、频率为每月一次；</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.4</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传输设备</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ascii="仿宋" w:hAnsi="仿宋" w:eastAsia="仿宋"/>
                <w:color w:val="000000"/>
                <w:sz w:val="24"/>
              </w:rPr>
            </w:pPr>
            <w:r>
              <w:rPr>
                <w:rFonts w:hint="eastAsia" w:ascii="仿宋" w:hAnsi="仿宋" w:eastAsia="仿宋"/>
                <w:color w:val="000000"/>
                <w:sz w:val="24"/>
              </w:rPr>
              <w:t>1、核心交换机及接入交换机的除尘和技术维护；</w:t>
            </w:r>
          </w:p>
          <w:p>
            <w:pPr>
              <w:spacing w:line="276" w:lineRule="auto"/>
              <w:contextualSpacing/>
              <w:rPr>
                <w:rFonts w:ascii="仿宋" w:hAnsi="仿宋" w:eastAsia="仿宋"/>
                <w:color w:val="000000"/>
                <w:sz w:val="24"/>
              </w:rPr>
            </w:pPr>
            <w:r>
              <w:rPr>
                <w:rFonts w:hint="eastAsia" w:ascii="仿宋" w:hAnsi="仿宋" w:eastAsia="仿宋"/>
                <w:color w:val="000000"/>
                <w:sz w:val="24"/>
              </w:rPr>
              <w:t>2、交换机定期性能检测；</w:t>
            </w:r>
          </w:p>
          <w:p>
            <w:pPr>
              <w:spacing w:line="276" w:lineRule="auto"/>
              <w:contextualSpacing/>
              <w:rPr>
                <w:rFonts w:ascii="仿宋" w:hAnsi="仿宋" w:eastAsia="仿宋"/>
                <w:color w:val="000000"/>
                <w:sz w:val="24"/>
              </w:rPr>
            </w:pPr>
            <w:r>
              <w:rPr>
                <w:rFonts w:hint="eastAsia" w:ascii="仿宋" w:hAnsi="仿宋" w:eastAsia="仿宋"/>
                <w:color w:val="000000"/>
                <w:sz w:val="24"/>
              </w:rPr>
              <w:t>3、故障维修响应；</w:t>
            </w:r>
          </w:p>
          <w:p>
            <w:pPr>
              <w:spacing w:line="276" w:lineRule="auto"/>
              <w:contextualSpacing/>
              <w:rPr>
                <w:rFonts w:ascii="仿宋" w:hAnsi="仿宋" w:eastAsia="仿宋"/>
                <w:color w:val="000000"/>
                <w:sz w:val="24"/>
              </w:rPr>
            </w:pPr>
            <w:r>
              <w:rPr>
                <w:rFonts w:hint="eastAsia" w:ascii="仿宋" w:hAnsi="仿宋" w:eastAsia="仿宋"/>
                <w:color w:val="000000"/>
                <w:sz w:val="24"/>
              </w:rPr>
              <w:t>4、备件保障；</w:t>
            </w:r>
          </w:p>
          <w:p>
            <w:pPr>
              <w:spacing w:line="276" w:lineRule="auto"/>
              <w:contextualSpacing/>
              <w:rPr>
                <w:rFonts w:ascii="仿宋" w:hAnsi="仿宋" w:eastAsia="仿宋"/>
                <w:color w:val="000000"/>
                <w:sz w:val="24"/>
              </w:rPr>
            </w:pPr>
            <w:r>
              <w:rPr>
                <w:rFonts w:hint="eastAsia" w:ascii="仿宋" w:hAnsi="仿宋" w:eastAsia="仿宋"/>
                <w:color w:val="000000"/>
                <w:sz w:val="24"/>
              </w:rPr>
              <w:t>5、固件升级；</w:t>
            </w:r>
          </w:p>
          <w:p>
            <w:pPr>
              <w:spacing w:line="276" w:lineRule="auto"/>
              <w:contextualSpacing/>
              <w:rPr>
                <w:rFonts w:ascii="仿宋" w:hAnsi="仿宋" w:eastAsia="仿宋"/>
                <w:color w:val="000000"/>
                <w:sz w:val="24"/>
              </w:rPr>
            </w:pPr>
            <w:r>
              <w:rPr>
                <w:rFonts w:hint="eastAsia" w:ascii="仿宋" w:hAnsi="仿宋" w:eastAsia="仿宋"/>
                <w:color w:val="000000"/>
                <w:sz w:val="24"/>
              </w:rPr>
              <w:t>6、传输线路维护；</w:t>
            </w:r>
          </w:p>
          <w:p>
            <w:pPr>
              <w:spacing w:line="276" w:lineRule="auto"/>
              <w:contextualSpacing/>
              <w:rPr>
                <w:rFonts w:hint="eastAsia" w:ascii="仿宋" w:hAnsi="仿宋" w:eastAsia="仿宋"/>
                <w:color w:val="000000"/>
                <w:sz w:val="24"/>
              </w:rPr>
            </w:pPr>
            <w:r>
              <w:rPr>
                <w:rFonts w:hint="eastAsia" w:ascii="仿宋" w:hAnsi="仿宋" w:eastAsia="仿宋"/>
                <w:color w:val="000000"/>
                <w:sz w:val="24"/>
              </w:rPr>
              <w:t>7、频率为每月一次；</w:t>
            </w: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.5</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存储设备</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ascii="仿宋" w:hAnsi="仿宋" w:eastAsia="仿宋"/>
                <w:color w:val="000000"/>
                <w:sz w:val="24"/>
              </w:rPr>
            </w:pPr>
            <w:r>
              <w:rPr>
                <w:rFonts w:hint="eastAsia" w:ascii="仿宋" w:hAnsi="仿宋" w:eastAsia="仿宋"/>
                <w:color w:val="000000"/>
                <w:sz w:val="24"/>
              </w:rPr>
              <w:t>1、存储主机及扩展柜定期检查；</w:t>
            </w:r>
          </w:p>
          <w:p>
            <w:pPr>
              <w:spacing w:line="276" w:lineRule="auto"/>
              <w:contextualSpacing/>
              <w:rPr>
                <w:rFonts w:ascii="仿宋" w:hAnsi="仿宋" w:eastAsia="仿宋"/>
                <w:color w:val="000000"/>
                <w:sz w:val="24"/>
              </w:rPr>
            </w:pPr>
            <w:r>
              <w:rPr>
                <w:rFonts w:hint="eastAsia" w:ascii="仿宋" w:hAnsi="仿宋" w:eastAsia="仿宋"/>
                <w:color w:val="000000"/>
                <w:sz w:val="24"/>
              </w:rPr>
              <w:t>2、定期硬盘检查维护；</w:t>
            </w:r>
          </w:p>
          <w:p>
            <w:pPr>
              <w:spacing w:line="276" w:lineRule="auto"/>
              <w:contextualSpacing/>
              <w:rPr>
                <w:rFonts w:ascii="仿宋" w:hAnsi="仿宋" w:eastAsia="仿宋"/>
                <w:color w:val="000000"/>
                <w:sz w:val="24"/>
              </w:rPr>
            </w:pPr>
            <w:r>
              <w:rPr>
                <w:rFonts w:hint="eastAsia" w:ascii="仿宋" w:hAnsi="仿宋" w:eastAsia="仿宋"/>
                <w:color w:val="000000"/>
                <w:sz w:val="24"/>
              </w:rPr>
              <w:t>3、视频录像信息抽查（是否有录像，天数是否满足要求）；</w:t>
            </w:r>
          </w:p>
          <w:p>
            <w:pPr>
              <w:spacing w:line="276" w:lineRule="auto"/>
              <w:contextualSpacing/>
              <w:rPr>
                <w:rFonts w:ascii="仿宋" w:hAnsi="仿宋" w:eastAsia="仿宋"/>
                <w:color w:val="000000"/>
                <w:sz w:val="24"/>
              </w:rPr>
            </w:pPr>
            <w:r>
              <w:rPr>
                <w:rFonts w:hint="eastAsia" w:ascii="仿宋" w:hAnsi="仿宋" w:eastAsia="仿宋"/>
                <w:color w:val="000000"/>
                <w:sz w:val="24"/>
              </w:rPr>
              <w:t>4、故障维修响应；</w:t>
            </w:r>
          </w:p>
          <w:p>
            <w:pPr>
              <w:spacing w:line="276" w:lineRule="auto"/>
              <w:contextualSpacing/>
              <w:rPr>
                <w:rFonts w:hint="eastAsia" w:ascii="仿宋" w:hAnsi="仿宋" w:eastAsia="仿宋"/>
                <w:color w:val="000000"/>
                <w:sz w:val="24"/>
              </w:rPr>
            </w:pPr>
            <w:r>
              <w:rPr>
                <w:rFonts w:hint="eastAsia" w:ascii="仿宋" w:hAnsi="仿宋" w:eastAsia="仿宋"/>
                <w:color w:val="000000"/>
                <w:sz w:val="24"/>
              </w:rPr>
              <w:t>5、频率为每月一次；</w:t>
            </w:r>
          </w:p>
        </w:tc>
      </w:tr>
      <w:tr>
        <w:tblPrEx>
          <w:tblCellMar>
            <w:top w:w="0" w:type="dxa"/>
            <w:left w:w="108" w:type="dxa"/>
            <w:bottom w:w="0" w:type="dxa"/>
            <w:right w:w="108" w:type="dxa"/>
          </w:tblCellMar>
        </w:tblPrEx>
        <w:trPr>
          <w:trHeight w:val="638"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.6</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平台设备</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ascii="仿宋" w:hAnsi="仿宋" w:eastAsia="仿宋"/>
                <w:color w:val="000000"/>
                <w:sz w:val="24"/>
              </w:rPr>
            </w:pPr>
            <w:r>
              <w:rPr>
                <w:rFonts w:hint="eastAsia" w:ascii="仿宋" w:hAnsi="仿宋" w:eastAsia="仿宋"/>
                <w:color w:val="000000"/>
                <w:sz w:val="24"/>
              </w:rPr>
              <w:t>1、平台服务器、显示工作站的设备硬件功能检查；</w:t>
            </w:r>
          </w:p>
          <w:p>
            <w:pPr>
              <w:spacing w:line="276" w:lineRule="auto"/>
              <w:contextualSpacing/>
              <w:rPr>
                <w:rFonts w:ascii="仿宋" w:hAnsi="仿宋" w:eastAsia="仿宋"/>
                <w:color w:val="000000"/>
                <w:sz w:val="24"/>
              </w:rPr>
            </w:pPr>
            <w:r>
              <w:rPr>
                <w:rFonts w:hint="eastAsia" w:ascii="仿宋" w:hAnsi="仿宋" w:eastAsia="仿宋"/>
                <w:color w:val="000000"/>
                <w:sz w:val="24"/>
              </w:rPr>
              <w:t>2、定期更新操作系统、系统垃圾清理、病毒检测；</w:t>
            </w:r>
          </w:p>
          <w:p>
            <w:pPr>
              <w:spacing w:line="276" w:lineRule="auto"/>
              <w:contextualSpacing/>
              <w:rPr>
                <w:rFonts w:ascii="仿宋" w:hAnsi="仿宋" w:eastAsia="仿宋"/>
                <w:color w:val="000000"/>
                <w:sz w:val="24"/>
              </w:rPr>
            </w:pPr>
            <w:r>
              <w:rPr>
                <w:rFonts w:hint="eastAsia" w:ascii="仿宋" w:hAnsi="仿宋" w:eastAsia="仿宋"/>
                <w:color w:val="000000"/>
                <w:sz w:val="24"/>
              </w:rPr>
              <w:t>3、平台功能检查，包括常用功能、时钟同步、平台各项操作等；</w:t>
            </w:r>
          </w:p>
          <w:p>
            <w:pPr>
              <w:spacing w:line="276" w:lineRule="auto"/>
              <w:contextualSpacing/>
              <w:rPr>
                <w:rFonts w:ascii="仿宋" w:hAnsi="仿宋" w:eastAsia="仿宋"/>
                <w:color w:val="000000"/>
                <w:sz w:val="24"/>
              </w:rPr>
            </w:pPr>
            <w:r>
              <w:rPr>
                <w:rFonts w:hint="eastAsia" w:ascii="仿宋" w:hAnsi="仿宋" w:eastAsia="仿宋"/>
                <w:color w:val="000000"/>
                <w:sz w:val="24"/>
              </w:rPr>
              <w:t>4、故障维修响应；</w:t>
            </w:r>
          </w:p>
          <w:p>
            <w:pPr>
              <w:spacing w:line="276" w:lineRule="auto"/>
              <w:contextualSpacing/>
              <w:rPr>
                <w:rFonts w:hint="eastAsia" w:ascii="仿宋" w:hAnsi="仿宋" w:eastAsia="仿宋"/>
                <w:color w:val="000000"/>
                <w:sz w:val="24"/>
              </w:rPr>
            </w:pPr>
            <w:r>
              <w:rPr>
                <w:rFonts w:hint="eastAsia" w:ascii="仿宋" w:hAnsi="仿宋" w:eastAsia="仿宋"/>
                <w:color w:val="000000"/>
                <w:sz w:val="24"/>
              </w:rPr>
              <w:t>5、频率为每月一次；</w:t>
            </w:r>
          </w:p>
        </w:tc>
      </w:tr>
      <w:tr>
        <w:tblPrEx>
          <w:tblCellMar>
            <w:top w:w="0" w:type="dxa"/>
            <w:left w:w="108" w:type="dxa"/>
            <w:bottom w:w="0" w:type="dxa"/>
            <w:right w:w="108" w:type="dxa"/>
          </w:tblCellMar>
        </w:tblPrEx>
        <w:trPr>
          <w:trHeight w:val="56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.7</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月系统检查</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ascii="仿宋" w:hAnsi="仿宋" w:eastAsia="仿宋"/>
                <w:color w:val="000000"/>
                <w:sz w:val="24"/>
              </w:rPr>
            </w:pPr>
            <w:r>
              <w:rPr>
                <w:rFonts w:hint="eastAsia" w:ascii="仿宋" w:hAnsi="仿宋" w:eastAsia="仿宋"/>
                <w:color w:val="000000"/>
                <w:sz w:val="24"/>
              </w:rPr>
              <w:t>1、每月对系统进行全面检测，对系统运行情况进行分析，及时发现并排除故障；</w:t>
            </w:r>
          </w:p>
          <w:p>
            <w:pPr>
              <w:spacing w:line="276" w:lineRule="auto"/>
              <w:contextualSpacing/>
              <w:rPr>
                <w:rFonts w:ascii="仿宋" w:hAnsi="仿宋" w:eastAsia="仿宋"/>
                <w:color w:val="000000"/>
                <w:sz w:val="24"/>
              </w:rPr>
            </w:pPr>
            <w:r>
              <w:rPr>
                <w:rFonts w:hint="eastAsia" w:ascii="仿宋" w:hAnsi="仿宋" w:eastAsia="仿宋"/>
                <w:color w:val="000000"/>
                <w:sz w:val="24"/>
              </w:rPr>
              <w:t>2、对容易老化的零部件进行全面检查，一但发现老化现场及时更换维修，检查录像存储时间是否满足要求；</w:t>
            </w:r>
          </w:p>
          <w:p>
            <w:pPr>
              <w:spacing w:line="276" w:lineRule="auto"/>
              <w:contextualSpacing/>
              <w:rPr>
                <w:rFonts w:hint="eastAsia" w:ascii="仿宋" w:hAnsi="仿宋" w:eastAsia="仿宋"/>
                <w:color w:val="000000"/>
                <w:sz w:val="24"/>
              </w:rPr>
            </w:pPr>
            <w:r>
              <w:rPr>
                <w:rFonts w:hint="eastAsia" w:ascii="仿宋" w:hAnsi="仿宋" w:eastAsia="仿宋"/>
                <w:color w:val="000000"/>
                <w:sz w:val="24"/>
              </w:rPr>
              <w:t>3、全面检查图像状态，如发现虚焦、遮挡等情况及时处理；</w:t>
            </w:r>
          </w:p>
        </w:tc>
      </w:tr>
      <w:tr>
        <w:tblPrEx>
          <w:tblCellMar>
            <w:top w:w="0" w:type="dxa"/>
            <w:left w:w="108" w:type="dxa"/>
            <w:bottom w:w="0" w:type="dxa"/>
            <w:right w:w="108" w:type="dxa"/>
          </w:tblCellMar>
        </w:tblPrEx>
        <w:trPr>
          <w:trHeight w:val="556"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.8</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ascii="仿宋" w:hAnsi="仿宋" w:eastAsia="仿宋"/>
                <w:color w:val="000000"/>
                <w:kern w:val="0"/>
                <w:sz w:val="24"/>
              </w:rPr>
            </w:pPr>
            <w:r>
              <w:rPr>
                <w:rFonts w:hint="eastAsia" w:ascii="仿宋" w:hAnsi="仿宋" w:eastAsia="仿宋"/>
                <w:color w:val="000000"/>
                <w:sz w:val="24"/>
              </w:rPr>
              <w:t>季度系统检测</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ascii="仿宋" w:hAnsi="仿宋" w:eastAsia="仿宋"/>
                <w:color w:val="000000"/>
                <w:sz w:val="24"/>
              </w:rPr>
            </w:pPr>
            <w:r>
              <w:rPr>
                <w:rFonts w:hint="eastAsia" w:ascii="仿宋" w:hAnsi="仿宋" w:eastAsia="仿宋"/>
                <w:color w:val="000000"/>
                <w:sz w:val="24"/>
              </w:rPr>
              <w:t>1、摄像机清洁、确认监控方位和实际使用要求相一致；室内、外防护罩应清洁、牢固；进线口密封确认，监视器应清洁，散热应正常；确认图像质量和原设计方案相一致；云台上、下、左、右控制应齐全有效；光、电信号转换器应工作正常；硬盘录像机控制、预览、录像以及回放应符合设计方案要求；硬盘录像机机器内应清洁、除尘，确认散热风扇工作正常；</w:t>
            </w:r>
          </w:p>
          <w:p>
            <w:pPr>
              <w:spacing w:line="276" w:lineRule="auto"/>
              <w:contextualSpacing/>
              <w:rPr>
                <w:rFonts w:ascii="仿宋" w:hAnsi="仿宋" w:eastAsia="仿宋"/>
                <w:color w:val="000000"/>
                <w:sz w:val="24"/>
              </w:rPr>
            </w:pPr>
            <w:r>
              <w:rPr>
                <w:rFonts w:hint="eastAsia" w:ascii="仿宋" w:hAnsi="仿宋" w:eastAsia="仿宋"/>
                <w:color w:val="000000"/>
                <w:sz w:val="24"/>
              </w:rPr>
              <w:t>2、对监控中心和集结点设备进行除尘、清理设备显示的尘土，对前段设备卸下进行彻底吹风除尘，调整摄像机清晰度及监控位置；</w:t>
            </w:r>
          </w:p>
          <w:p>
            <w:pPr>
              <w:spacing w:line="276" w:lineRule="auto"/>
              <w:contextualSpacing/>
              <w:rPr>
                <w:rFonts w:ascii="仿宋" w:hAnsi="仿宋" w:eastAsia="仿宋"/>
                <w:color w:val="000000"/>
                <w:sz w:val="24"/>
              </w:rPr>
            </w:pPr>
            <w:r>
              <w:rPr>
                <w:rFonts w:hint="eastAsia" w:ascii="仿宋" w:hAnsi="仿宋" w:eastAsia="仿宋"/>
                <w:color w:val="000000"/>
                <w:sz w:val="24"/>
              </w:rPr>
              <w:t>3、对UPS进行充放电测试，确保停电后备用电源能正常使用，检查机房设备运行情况及通风、散热、供电系统，确保设备正常运行；</w:t>
            </w:r>
          </w:p>
          <w:p>
            <w:pPr>
              <w:spacing w:line="276" w:lineRule="auto"/>
              <w:contextualSpacing/>
              <w:rPr>
                <w:rFonts w:ascii="仿宋" w:hAnsi="仿宋" w:eastAsia="仿宋"/>
                <w:color w:val="000000"/>
                <w:sz w:val="24"/>
              </w:rPr>
            </w:pPr>
            <w:r>
              <w:rPr>
                <w:rFonts w:hint="eastAsia" w:ascii="仿宋" w:hAnsi="仿宋" w:eastAsia="仿宋"/>
                <w:color w:val="000000"/>
                <w:sz w:val="24"/>
              </w:rPr>
              <w:t>4、检测传输线路质量，处理故障隐患，协助监控主管设定使用级别等各种数据，确保各部分设备各项功能良好，能够正常运行；</w:t>
            </w:r>
          </w:p>
          <w:p>
            <w:pPr>
              <w:spacing w:line="276" w:lineRule="auto"/>
              <w:contextualSpacing/>
              <w:rPr>
                <w:rFonts w:ascii="仿宋" w:hAnsi="仿宋" w:eastAsia="仿宋"/>
                <w:color w:val="000000"/>
                <w:sz w:val="24"/>
              </w:rPr>
            </w:pPr>
            <w:r>
              <w:rPr>
                <w:rFonts w:hint="eastAsia" w:ascii="仿宋" w:hAnsi="仿宋" w:eastAsia="仿宋"/>
                <w:color w:val="000000"/>
                <w:sz w:val="24"/>
              </w:rPr>
              <w:t>5、报警系统全面测试；</w:t>
            </w:r>
          </w:p>
          <w:p>
            <w:pPr>
              <w:spacing w:line="276" w:lineRule="auto"/>
              <w:contextualSpacing/>
              <w:rPr>
                <w:rFonts w:hint="eastAsia" w:ascii="仿宋" w:hAnsi="仿宋" w:eastAsia="仿宋"/>
                <w:color w:val="000000"/>
                <w:sz w:val="24"/>
              </w:rPr>
            </w:pPr>
            <w:r>
              <w:rPr>
                <w:rFonts w:hint="eastAsia" w:ascii="仿宋" w:hAnsi="仿宋" w:eastAsia="仿宋"/>
                <w:color w:val="000000"/>
                <w:sz w:val="24"/>
              </w:rPr>
              <w:t>6、频率为每季度一次；</w:t>
            </w: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.9</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年度系统状态总结</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ascii="仿宋" w:hAnsi="仿宋" w:eastAsia="仿宋"/>
                <w:color w:val="000000"/>
                <w:sz w:val="24"/>
              </w:rPr>
            </w:pPr>
            <w:r>
              <w:rPr>
                <w:rFonts w:hint="eastAsia" w:ascii="仿宋" w:hAnsi="仿宋" w:eastAsia="仿宋"/>
                <w:color w:val="000000"/>
                <w:sz w:val="24"/>
              </w:rPr>
              <w:t>1、与最后一次季度检测同步完成，出具全年维护保养统计数据及系统运行情况评估报告；</w:t>
            </w:r>
          </w:p>
          <w:p>
            <w:pPr>
              <w:spacing w:line="276" w:lineRule="auto"/>
              <w:contextualSpacing/>
              <w:rPr>
                <w:rFonts w:hint="eastAsia" w:ascii="仿宋" w:hAnsi="仿宋" w:eastAsia="仿宋"/>
                <w:color w:val="000000"/>
                <w:sz w:val="24"/>
              </w:rPr>
            </w:pPr>
            <w:r>
              <w:rPr>
                <w:rFonts w:hint="eastAsia" w:ascii="仿宋" w:hAnsi="仿宋" w:eastAsia="仿宋"/>
                <w:color w:val="000000"/>
                <w:sz w:val="24"/>
              </w:rPr>
              <w:t>2、根据维护、维修、保养记录等统计数据，提出下一年系统维保建议及预算；</w:t>
            </w: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.10</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重大活动保障</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rPr>
                <w:rFonts w:hint="eastAsia" w:ascii="仿宋" w:hAnsi="仿宋" w:eastAsia="仿宋"/>
                <w:color w:val="000000"/>
                <w:sz w:val="24"/>
              </w:rPr>
            </w:pPr>
            <w:r>
              <w:rPr>
                <w:rFonts w:hint="eastAsia" w:ascii="仿宋" w:hAnsi="仿宋" w:eastAsia="仿宋"/>
                <w:color w:val="000000"/>
                <w:sz w:val="24"/>
              </w:rPr>
              <w:t>需提供重大活动、特殊时期采购人指定提供的现场保障服务，资深维修专员准时达到现场并积极与招标方沟通，并进行必要的系统检测等，确保活动或特殊时期内系统的正常运行。</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2</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ascii="仿宋" w:hAnsi="仿宋" w:eastAsia="仿宋"/>
                <w:color w:val="000000"/>
                <w:sz w:val="24"/>
              </w:rPr>
            </w:pPr>
            <w:r>
              <w:rPr>
                <w:rFonts w:hint="eastAsia" w:ascii="仿宋" w:hAnsi="仿宋" w:eastAsia="仿宋"/>
                <w:color w:val="000000"/>
                <w:sz w:val="24"/>
              </w:rPr>
              <w:t>服务方案</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left"/>
              <w:rPr>
                <w:rFonts w:hint="eastAsia" w:ascii="仿宋" w:hAnsi="仿宋" w:eastAsia="仿宋"/>
                <w:sz w:val="24"/>
              </w:rPr>
            </w:pPr>
            <w:r>
              <w:rPr>
                <w:rFonts w:hint="eastAsia" w:ascii="仿宋" w:hAnsi="仿宋" w:eastAsia="仿宋"/>
                <w:color w:val="000000"/>
                <w:sz w:val="24"/>
              </w:rPr>
              <w:t xml:space="preserve">提供服务方案，服务效率时限明确、服务流程规范、服务保障标准规范、服务质量控制措施完整、具体                                                 </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3</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应急响应预案</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left"/>
              <w:rPr>
                <w:rFonts w:hint="eastAsia" w:ascii="仿宋" w:hAnsi="仿宋" w:eastAsia="仿宋"/>
                <w:sz w:val="24"/>
              </w:rPr>
            </w:pPr>
            <w:r>
              <w:rPr>
                <w:rFonts w:hint="eastAsia" w:ascii="仿宋" w:hAnsi="仿宋" w:eastAsia="仿宋"/>
                <w:color w:val="000000"/>
                <w:sz w:val="24"/>
              </w:rPr>
              <w:t xml:space="preserve">提供应急响应预案                                                </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4</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培训方案</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left"/>
              <w:rPr>
                <w:rFonts w:hint="eastAsia" w:ascii="仿宋" w:hAnsi="仿宋" w:eastAsia="仿宋"/>
                <w:color w:val="000000"/>
                <w:sz w:val="24"/>
              </w:rPr>
            </w:pPr>
            <w:r>
              <w:rPr>
                <w:rFonts w:hint="eastAsia" w:ascii="仿宋" w:hAnsi="仿宋" w:eastAsia="仿宋"/>
                <w:color w:val="000000"/>
                <w:sz w:val="24"/>
              </w:rPr>
              <w:t>投标人组织专业培训，协助采购人建立有关的管理制度和培训指导采购人操作人员正确使用设备</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5</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内部管理制度方案</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left"/>
              <w:rPr>
                <w:rFonts w:hint="eastAsia" w:ascii="仿宋" w:hAnsi="仿宋" w:eastAsia="仿宋"/>
                <w:color w:val="000000"/>
                <w:sz w:val="24"/>
              </w:rPr>
            </w:pPr>
            <w:r>
              <w:rPr>
                <w:rFonts w:hint="eastAsia" w:ascii="仿宋" w:hAnsi="仿宋" w:eastAsia="仿宋"/>
                <w:color w:val="000000"/>
                <w:sz w:val="24"/>
              </w:rPr>
              <w:t>提供健全、合理的内部管理制度（安全管理制度、人员管理制度、运维管理制度、档案管理制度等），能够充分保证服务质量</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6</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验收</w:t>
            </w:r>
            <w:r>
              <w:rPr>
                <w:rFonts w:ascii="仿宋" w:hAnsi="仿宋" w:eastAsia="仿宋"/>
                <w:color w:val="000000"/>
                <w:sz w:val="24"/>
              </w:rPr>
              <w:t>要求</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left"/>
              <w:rPr>
                <w:rFonts w:hint="eastAsia" w:ascii="仿宋" w:hAnsi="仿宋" w:eastAsia="仿宋"/>
                <w:color w:val="000000"/>
                <w:sz w:val="24"/>
              </w:rPr>
            </w:pPr>
            <w:r>
              <w:rPr>
                <w:rFonts w:hint="eastAsia" w:ascii="仿宋" w:hAnsi="仿宋" w:eastAsia="仿宋"/>
                <w:color w:val="000000"/>
                <w:sz w:val="24"/>
              </w:rPr>
              <w:t>每月提交维保记录及测试记录</w:t>
            </w: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7</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其他要求</w:t>
            </w:r>
          </w:p>
        </w:tc>
        <w:tc>
          <w:tcPr>
            <w:tcW w:w="3492"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left"/>
              <w:rPr>
                <w:rFonts w:hint="eastAsia" w:ascii="仿宋" w:hAnsi="仿宋" w:eastAsia="仿宋" w:cs="宋体"/>
                <w:color w:val="000000"/>
                <w:kern w:val="0"/>
                <w:sz w:val="24"/>
              </w:rPr>
            </w:pPr>
            <w:r>
              <w:rPr>
                <w:rFonts w:hint="eastAsia" w:ascii="仿宋" w:hAnsi="仿宋" w:eastAsia="仿宋" w:cs="宋体"/>
                <w:color w:val="000000"/>
                <w:kern w:val="0"/>
                <w:sz w:val="24"/>
              </w:rPr>
              <w:t>单件、单次故障维修所需材料、配件、零件等费用小于800元的（含800元），由投标人自行承担；维修费超过800元的，投标人应说明故障原因、维修方法、意见建议，采购人确认后，方可开展维修工作，否则不予承认。</w:t>
            </w: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b/>
                <w:bCs/>
                <w:color w:val="000000"/>
                <w:sz w:val="24"/>
              </w:rPr>
            </w:pPr>
            <w:r>
              <w:rPr>
                <w:rFonts w:hint="eastAsia" w:ascii="仿宋" w:hAnsi="仿宋" w:eastAsia="仿宋"/>
                <w:b/>
                <w:bCs/>
                <w:color w:val="000000"/>
                <w:sz w:val="24"/>
              </w:rPr>
              <w:t>（二）</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ascii="仿宋" w:hAnsi="仿宋" w:eastAsia="仿宋"/>
                <w:b/>
                <w:bCs/>
                <w:color w:val="000000"/>
                <w:sz w:val="24"/>
              </w:rPr>
            </w:pPr>
            <w:r>
              <w:rPr>
                <w:rFonts w:hint="eastAsia" w:ascii="仿宋" w:hAnsi="仿宋" w:eastAsia="仿宋"/>
                <w:b/>
                <w:bCs/>
                <w:color w:val="000000"/>
                <w:sz w:val="24"/>
              </w:rPr>
              <w:t>人员配置</w:t>
            </w:r>
          </w:p>
        </w:tc>
        <w:tc>
          <w:tcPr>
            <w:tcW w:w="3492" w:type="pct"/>
            <w:tcBorders>
              <w:top w:val="single" w:color="auto" w:sz="4" w:space="0"/>
              <w:left w:val="nil"/>
              <w:bottom w:val="single" w:color="auto" w:sz="4" w:space="0"/>
              <w:right w:val="single" w:color="auto" w:sz="4" w:space="0"/>
            </w:tcBorders>
            <w:noWrap w:val="0"/>
            <w:vAlign w:val="center"/>
          </w:tcPr>
          <w:p>
            <w:pPr>
              <w:spacing w:line="276" w:lineRule="auto"/>
              <w:contextualSpacing/>
              <w:rPr>
                <w:rFonts w:hint="eastAsia" w:ascii="仿宋" w:hAnsi="仿宋" w:eastAsia="仿宋"/>
                <w:color w:val="000000"/>
                <w:sz w:val="24"/>
              </w:rPr>
            </w:pPr>
          </w:p>
        </w:tc>
      </w:tr>
      <w:tr>
        <w:tblPrEx>
          <w:tblCellMar>
            <w:top w:w="0" w:type="dxa"/>
            <w:left w:w="108" w:type="dxa"/>
            <w:bottom w:w="0" w:type="dxa"/>
            <w:right w:w="108" w:type="dxa"/>
          </w:tblCellMar>
        </w:tblPrEx>
        <w:trPr>
          <w:trHeight w:val="3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spacing w:line="276" w:lineRule="auto"/>
              <w:contextualSpacing/>
              <w:jc w:val="center"/>
              <w:rPr>
                <w:rFonts w:hint="eastAsia" w:ascii="仿宋" w:hAnsi="仿宋" w:eastAsia="仿宋"/>
                <w:color w:val="000000"/>
                <w:sz w:val="24"/>
              </w:rPr>
            </w:pPr>
            <w:r>
              <w:rPr>
                <w:rFonts w:hint="eastAsia" w:ascii="仿宋" w:hAnsi="仿宋" w:eastAsia="仿宋"/>
                <w:color w:val="000000"/>
                <w:sz w:val="24"/>
              </w:rPr>
              <w:t>1</w:t>
            </w:r>
          </w:p>
        </w:tc>
        <w:tc>
          <w:tcPr>
            <w:tcW w:w="100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contextualSpacing/>
              <w:jc w:val="center"/>
              <w:rPr>
                <w:rFonts w:ascii="仿宋" w:hAnsi="仿宋" w:eastAsia="仿宋"/>
                <w:color w:val="000000"/>
                <w:kern w:val="0"/>
                <w:sz w:val="24"/>
              </w:rPr>
            </w:pPr>
            <w:r>
              <w:rPr>
                <w:rFonts w:hint="eastAsia" w:ascii="仿宋" w:hAnsi="仿宋" w:eastAsia="仿宋"/>
                <w:color w:val="000000"/>
                <w:kern w:val="0"/>
                <w:sz w:val="24"/>
              </w:rPr>
              <w:t>提供服务人数</w:t>
            </w:r>
          </w:p>
        </w:tc>
        <w:tc>
          <w:tcPr>
            <w:tcW w:w="3492" w:type="pct"/>
            <w:tcBorders>
              <w:top w:val="single" w:color="auto" w:sz="4" w:space="0"/>
              <w:left w:val="nil"/>
              <w:bottom w:val="single" w:color="auto" w:sz="4" w:space="0"/>
              <w:right w:val="single" w:color="auto" w:sz="4" w:space="0"/>
            </w:tcBorders>
            <w:noWrap w:val="0"/>
            <w:vAlign w:val="center"/>
          </w:tcPr>
          <w:p>
            <w:pPr>
              <w:spacing w:line="276" w:lineRule="auto"/>
              <w:contextualSpacing/>
              <w:rPr>
                <w:rFonts w:hint="eastAsia" w:ascii="仿宋" w:hAnsi="仿宋" w:eastAsia="仿宋"/>
                <w:color w:val="000000"/>
                <w:sz w:val="24"/>
              </w:rPr>
            </w:pPr>
            <w:r>
              <w:rPr>
                <w:rFonts w:hint="eastAsia" w:ascii="仿宋" w:hAnsi="仿宋" w:eastAsia="仿宋"/>
                <w:color w:val="000000"/>
                <w:sz w:val="24"/>
              </w:rPr>
              <w:t>1、不少于2人，全年全天驻场保障（节假日除外）；</w:t>
            </w:r>
          </w:p>
          <w:p>
            <w:pPr>
              <w:pStyle w:val="2"/>
              <w:spacing w:before="0" w:line="276" w:lineRule="auto"/>
              <w:contextualSpacing/>
              <w:rPr>
                <w:rFonts w:hint="eastAsia" w:ascii="仿宋" w:hAnsi="仿宋" w:eastAsia="仿宋"/>
              </w:rPr>
            </w:pPr>
            <w:r>
              <w:rPr>
                <w:rFonts w:hint="eastAsia" w:ascii="仿宋" w:hAnsi="仿宋" w:eastAsia="仿宋"/>
              </w:rPr>
              <w:t>2、应至少1人具有相关执业建造师证书或安防相关技能培训合格证书；</w:t>
            </w:r>
          </w:p>
          <w:p>
            <w:pPr>
              <w:pStyle w:val="3"/>
              <w:spacing w:line="276" w:lineRule="auto"/>
              <w:contextualSpacing/>
              <w:rPr>
                <w:rFonts w:ascii="仿宋" w:hAnsi="仿宋" w:eastAsia="仿宋"/>
              </w:rPr>
            </w:pPr>
            <w:r>
              <w:rPr>
                <w:rFonts w:hint="eastAsia" w:ascii="仿宋" w:hAnsi="仿宋" w:eastAsia="仿宋"/>
              </w:rPr>
              <w:t>3、具有充足的项目经验和专业技术人员，有能力保证本项目的顺利开展，项目组织机构完整、人员配备合理，职责分工明确，对项目实际需要的契合度高；</w:t>
            </w:r>
          </w:p>
        </w:tc>
      </w:tr>
    </w:tbl>
    <w:p>
      <w:pPr>
        <w:spacing w:line="360" w:lineRule="auto"/>
        <w:contextualSpacing/>
        <w:rPr>
          <w:rFonts w:ascii="仿宋" w:hAnsi="仿宋" w:eastAsia="仿宋" w:cs="宋体"/>
          <w:b/>
          <w:sz w:val="24"/>
        </w:rPr>
      </w:pPr>
      <w:r>
        <w:rPr>
          <w:rFonts w:hint="eastAsia" w:ascii="仿宋" w:hAnsi="仿宋" w:eastAsia="仿宋" w:cs="宋体"/>
          <w:b/>
          <w:sz w:val="24"/>
        </w:rPr>
        <w:t>三、其他要求</w:t>
      </w:r>
    </w:p>
    <w:p>
      <w:pPr>
        <w:pStyle w:val="22"/>
        <w:spacing w:line="360" w:lineRule="auto"/>
        <w:ind w:firstLine="480" w:firstLineChars="200"/>
        <w:contextualSpacing/>
        <w:rPr>
          <w:rFonts w:ascii="仿宋" w:hAnsi="仿宋" w:eastAsia="仿宋" w:cs="宋体"/>
          <w:sz w:val="24"/>
        </w:rPr>
      </w:pPr>
      <w:r>
        <w:rPr>
          <w:rFonts w:hint="eastAsia" w:ascii="仿宋" w:hAnsi="仿宋" w:eastAsia="仿宋" w:cs="宋体"/>
          <w:sz w:val="24"/>
        </w:rPr>
        <w:t>本项目采取一次招标两年有效，合同一年一签订，凡出现重大问题不再续签，重新进行招标。</w:t>
      </w:r>
    </w:p>
    <w:p>
      <w:pPr>
        <w:spacing w:line="360" w:lineRule="auto"/>
        <w:contextualSpacing/>
        <w:rPr>
          <w:rFonts w:hint="eastAsia" w:ascii="仿宋" w:hAnsi="仿宋" w:eastAsia="仿宋" w:cs="宋体"/>
          <w:b/>
          <w:sz w:val="24"/>
        </w:rPr>
      </w:pPr>
      <w:r>
        <w:rPr>
          <w:rFonts w:hint="eastAsia" w:ascii="仿宋" w:hAnsi="仿宋" w:eastAsia="仿宋" w:cs="宋体"/>
          <w:b/>
          <w:sz w:val="24"/>
        </w:rPr>
        <w:t>四、主要设备清单（见附件）</w:t>
      </w:r>
    </w:p>
    <w:p>
      <w:pPr>
        <w:pStyle w:val="22"/>
        <w:spacing w:line="360" w:lineRule="auto"/>
        <w:contextualSpacing/>
        <w:jc w:val="center"/>
        <w:rPr>
          <w:rFonts w:ascii="仿宋" w:hAnsi="仿宋" w:eastAsia="仿宋" w:cs="Arial"/>
          <w:b/>
          <w:sz w:val="24"/>
        </w:rPr>
      </w:pPr>
      <w:r>
        <w:rPr>
          <w:rFonts w:hint="eastAsia" w:ascii="仿宋" w:hAnsi="仿宋" w:eastAsia="仿宋" w:cs="Arial"/>
          <w:b/>
          <w:sz w:val="24"/>
        </w:rPr>
        <w:t>主要设备清单</w:t>
      </w:r>
    </w:p>
    <w:tbl>
      <w:tblPr>
        <w:tblStyle w:val="15"/>
        <w:tblW w:w="5000" w:type="pct"/>
        <w:jc w:val="center"/>
        <w:tblLayout w:type="autofit"/>
        <w:tblCellMar>
          <w:top w:w="0" w:type="dxa"/>
          <w:left w:w="108" w:type="dxa"/>
          <w:bottom w:w="0" w:type="dxa"/>
          <w:right w:w="108" w:type="dxa"/>
        </w:tblCellMar>
      </w:tblPr>
      <w:tblGrid>
        <w:gridCol w:w="857"/>
        <w:gridCol w:w="5385"/>
        <w:gridCol w:w="805"/>
        <w:gridCol w:w="1475"/>
      </w:tblGrid>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b/>
                <w:bCs/>
                <w:color w:val="000000"/>
                <w:sz w:val="24"/>
              </w:rPr>
            </w:pPr>
            <w:r>
              <w:rPr>
                <w:rFonts w:hint="eastAsia" w:ascii="仿宋" w:hAnsi="仿宋" w:eastAsia="仿宋" w:cs="宋体"/>
                <w:b/>
                <w:bCs/>
                <w:color w:val="000000"/>
                <w:kern w:val="0"/>
                <w:sz w:val="24"/>
                <w:lang w:bidi="ar"/>
              </w:rPr>
              <w:t>序号</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b/>
                <w:bCs/>
                <w:color w:val="000000"/>
                <w:sz w:val="24"/>
              </w:rPr>
            </w:pPr>
            <w:r>
              <w:rPr>
                <w:rFonts w:hint="eastAsia" w:ascii="仿宋" w:hAnsi="仿宋" w:eastAsia="仿宋" w:cs="宋体"/>
                <w:b/>
                <w:bCs/>
                <w:color w:val="000000"/>
                <w:kern w:val="0"/>
                <w:sz w:val="24"/>
                <w:lang w:bidi="ar"/>
              </w:rPr>
              <w:t>设备</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b/>
                <w:bCs/>
                <w:color w:val="000000"/>
                <w:sz w:val="24"/>
              </w:rPr>
            </w:pPr>
            <w:r>
              <w:rPr>
                <w:rFonts w:hint="eastAsia" w:ascii="仿宋" w:hAnsi="仿宋" w:eastAsia="仿宋" w:cs="宋体"/>
                <w:b/>
                <w:bCs/>
                <w:color w:val="000000"/>
                <w:kern w:val="0"/>
                <w:sz w:val="24"/>
                <w:lang w:bidi="ar"/>
              </w:rPr>
              <w:t>单位</w:t>
            </w:r>
          </w:p>
        </w:tc>
        <w:tc>
          <w:tcPr>
            <w:tcW w:w="86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b/>
                <w:bCs/>
                <w:color w:val="000000"/>
                <w:sz w:val="24"/>
              </w:rPr>
            </w:pPr>
            <w:r>
              <w:rPr>
                <w:rFonts w:hint="eastAsia" w:ascii="仿宋" w:hAnsi="仿宋" w:eastAsia="仿宋" w:cs="宋体"/>
                <w:b/>
                <w:bCs/>
                <w:color w:val="000000"/>
                <w:kern w:val="0"/>
                <w:sz w:val="24"/>
                <w:lang w:bidi="ar"/>
              </w:rPr>
              <w:t>数量</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摄像机</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1008</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核心交换机</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核心交换机路由引擎</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千兆/百兆光接口模块</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5</w:t>
            </w:r>
          </w:p>
        </w:tc>
        <w:tc>
          <w:tcPr>
            <w:tcW w:w="3159"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千兆电接口模块</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6</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交流电源模块</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7</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汇聚交换机（含千兆模块）</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6</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8</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接入交换机</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89</w:t>
            </w:r>
          </w:p>
        </w:tc>
      </w:tr>
      <w:tr>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9</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48盘位存储服务器（含硬盘）</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9</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10</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16盘位存储服务器（含硬盘）</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35</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11</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管理服务器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8</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12</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终端服务器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7</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13</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解码器</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14</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拼接屏控制器</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r>
      <w:tr>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15</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高保真拾音器</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142</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16</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46英寸LCD拼接屏</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15</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17</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IP一键求助盒（含配件）</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359</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18</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电子巡更</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19</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sz w:val="24"/>
              </w:rPr>
            </w:pPr>
            <w:r>
              <w:rPr>
                <w:rFonts w:hint="eastAsia" w:ascii="仿宋" w:hAnsi="仿宋" w:eastAsia="仿宋" w:cs="宋体"/>
                <w:kern w:val="0"/>
                <w:sz w:val="24"/>
                <w:lang w:bidi="ar"/>
              </w:rPr>
              <w:t>报警设备</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30</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20</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网络键盘</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21</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无线网桥</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对</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10</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22</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设备电源</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组</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380</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23</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电视墙柜体</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24</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操作台</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25</w:t>
            </w:r>
          </w:p>
        </w:tc>
        <w:tc>
          <w:tcPr>
            <w:tcW w:w="3159"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监控杆、预制基础</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根</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9</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26</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HDMI高清线缆</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条</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15</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27</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安防监控UPS电源及电池主机柜30KVA 32*(12V*100AH)</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28</w:t>
            </w:r>
          </w:p>
        </w:tc>
        <w:tc>
          <w:tcPr>
            <w:tcW w:w="3159"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24口光缆终端盒</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29</w:t>
            </w:r>
          </w:p>
        </w:tc>
        <w:tc>
          <w:tcPr>
            <w:tcW w:w="3159"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16口光缆终端盒</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10</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30</w:t>
            </w:r>
          </w:p>
        </w:tc>
        <w:tc>
          <w:tcPr>
            <w:tcW w:w="3159"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标准机柜</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21</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31</w:t>
            </w:r>
          </w:p>
        </w:tc>
        <w:tc>
          <w:tcPr>
            <w:tcW w:w="3159"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定制设备箱</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5</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32</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设备线缆检查</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47</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33</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前端集结点设备</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15</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34</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传输线缆压接头检查</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条</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359</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35</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后端系统设备及机柜清洁</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34</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36</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平台设备服务器系统时间调整</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47</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37</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重点部位录像存储时间及重点监视部位是否达到标</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30</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38</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图像调整</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1008</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39</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监视器检测及除尘</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15</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40</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存储设备及录像回放效果检查</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路</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1008</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41</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电源电压检查</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台</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359</w:t>
            </w:r>
          </w:p>
        </w:tc>
      </w:tr>
      <w:tr>
        <w:tblPrEx>
          <w:tblCellMar>
            <w:top w:w="0" w:type="dxa"/>
            <w:left w:w="108" w:type="dxa"/>
            <w:bottom w:w="0" w:type="dxa"/>
            <w:right w:w="108" w:type="dxa"/>
          </w:tblCellMar>
        </w:tblPrEx>
        <w:trPr>
          <w:trHeight w:val="331"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42</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控制设备可靠性检查</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套</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r>
      <w:tr>
        <w:tblPrEx>
          <w:tblCellMar>
            <w:top w:w="0" w:type="dxa"/>
            <w:left w:w="108" w:type="dxa"/>
            <w:bottom w:w="0" w:type="dxa"/>
            <w:right w:w="108" w:type="dxa"/>
          </w:tblCellMar>
        </w:tblPrEx>
        <w:trPr>
          <w:trHeight w:val="343" w:hRule="atLeast"/>
          <w:jc w:val="center"/>
        </w:trPr>
        <w:tc>
          <w:tcPr>
            <w:tcW w:w="503"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43</w:t>
            </w:r>
          </w:p>
        </w:tc>
        <w:tc>
          <w:tcPr>
            <w:tcW w:w="31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空调检测及除尘</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批</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contextualSpacing/>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1</w:t>
            </w:r>
          </w:p>
        </w:tc>
      </w:tr>
    </w:tbl>
    <w:p>
      <w:pPr>
        <w:jc w:val="both"/>
        <w:rPr>
          <w:rFonts w:hint="default"/>
          <w:b/>
          <w:bCs/>
          <w:sz w:val="32"/>
          <w:szCs w:val="40"/>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53</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0435B11"/>
    <w:rsid w:val="0872092E"/>
    <w:rsid w:val="14A26D8F"/>
    <w:rsid w:val="44CC3DAC"/>
    <w:rsid w:val="4B7E2B6C"/>
    <w:rsid w:val="5D9D153B"/>
    <w:rsid w:val="6DA01CBF"/>
    <w:rsid w:val="774638A7"/>
    <w:rsid w:val="77AF0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tabs>
        <w:tab w:val="left" w:pos="567"/>
      </w:tabs>
      <w:spacing w:before="120" w:line="22" w:lineRule="atLeast"/>
    </w:pPr>
    <w:rPr>
      <w:rFonts w:ascii="宋体" w:hAnsi="宋体"/>
      <w:sz w:val="24"/>
    </w:rPr>
  </w:style>
  <w:style w:type="paragraph" w:customStyle="1" w:styleId="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qFormat/>
    <w:uiPriority w:val="99"/>
    <w:pPr>
      <w:jc w:val="left"/>
    </w:pPr>
  </w:style>
  <w:style w:type="paragraph" w:styleId="8">
    <w:name w:val="Body Text Indent"/>
    <w:basedOn w:val="1"/>
    <w:qFormat/>
    <w:uiPriority w:val="99"/>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tabs>
        <w:tab w:val="right" w:leader="dot" w:pos="8937"/>
      </w:tabs>
      <w:spacing w:line="312" w:lineRule="auto"/>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qFormat/>
    <w:uiPriority w:val="0"/>
    <w:pPr>
      <w:spacing w:after="120" w:line="480" w:lineRule="exact"/>
      <w:ind w:left="420" w:leftChars="200" w:firstLine="420" w:firstLineChars="200"/>
    </w:pPr>
    <w:rPr>
      <w:szCs w:val="20"/>
    </w:rPr>
  </w:style>
  <w:style w:type="character" w:styleId="17">
    <w:name w:val="page number"/>
    <w:qFormat/>
    <w:uiPriority w:val="0"/>
  </w:style>
  <w:style w:type="character" w:styleId="18">
    <w:name w:val="annotation reference"/>
    <w:qFormat/>
    <w:uiPriority w:val="99"/>
    <w:rPr>
      <w:sz w:val="21"/>
      <w:szCs w:val="21"/>
    </w:rPr>
  </w:style>
  <w:style w:type="paragraph" w:customStyle="1" w:styleId="19">
    <w:name w:val="SOW正文"/>
    <w:basedOn w:val="1"/>
    <w:qFormat/>
    <w:uiPriority w:val="0"/>
    <w:pPr>
      <w:snapToGrid w:val="0"/>
      <w:spacing w:before="120" w:line="400" w:lineRule="exact"/>
      <w:ind w:firstLine="425"/>
    </w:pPr>
    <w:rPr>
      <w:rFonts w:ascii="Times New Roman" w:hAnsi="Times New Roman"/>
      <w:sz w:val="24"/>
      <w:szCs w:val="20"/>
    </w:rPr>
  </w:style>
  <w:style w:type="paragraph" w:styleId="20">
    <w:name w:val="List Paragraph"/>
    <w:basedOn w:val="1"/>
    <w:qFormat/>
    <w:uiPriority w:val="34"/>
    <w:pPr>
      <w:ind w:firstLine="420" w:firstLineChars="200"/>
    </w:pPr>
    <w:rPr>
      <w:rFonts w:cs="Times New Roman"/>
      <w:szCs w:val="22"/>
    </w:rPr>
  </w:style>
  <w:style w:type="paragraph" w:customStyle="1" w:styleId="21">
    <w:name w:val="正文 A A"/>
    <w:qFormat/>
    <w:uiPriority w:val="0"/>
    <w:rPr>
      <w:rFonts w:ascii="Times New Roman" w:hAnsi="Arial Unicode MS" w:eastAsia="Arial Unicode MS" w:cs="Times New Roman"/>
      <w:color w:val="000000"/>
      <w:sz w:val="24"/>
      <w:szCs w:val="24"/>
      <w:lang w:val="en-US" w:eastAsia="zh-CN" w:bidi="ar-SA"/>
    </w:r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2024-12-06T06:52:19Z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