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32"/>
          <w:szCs w:val="40"/>
          <w:lang w:val="en-US" w:eastAsia="zh-CN"/>
        </w:rPr>
      </w:pPr>
    </w:p>
    <w:p>
      <w:pPr>
        <w:jc w:val="center"/>
        <w:rPr>
          <w:rFonts w:hint="eastAsia"/>
          <w:b/>
          <w:bCs/>
          <w:sz w:val="36"/>
          <w:szCs w:val="44"/>
          <w:lang w:val="en-US" w:eastAsia="zh-CN"/>
        </w:rPr>
      </w:pPr>
      <w:r>
        <w:rPr>
          <w:rFonts w:hint="eastAsia"/>
          <w:b/>
          <w:bCs/>
          <w:sz w:val="36"/>
          <w:szCs w:val="44"/>
          <w:lang w:val="en-US" w:eastAsia="zh-CN"/>
        </w:rPr>
        <w:t>消防设施设备的维护与保养项目采购需求</w:t>
      </w:r>
    </w:p>
    <w:p>
      <w:pPr>
        <w:pStyle w:val="19"/>
        <w:spacing w:beforeLines="50" w:line="360" w:lineRule="auto"/>
        <w:ind w:firstLine="0"/>
        <w:rPr>
          <w:rFonts w:ascii="仿宋" w:hAnsi="仿宋" w:eastAsia="仿宋"/>
          <w:b/>
          <w:szCs w:val="24"/>
        </w:rPr>
      </w:pPr>
      <w:r>
        <w:rPr>
          <w:rFonts w:hint="eastAsia" w:ascii="仿宋" w:hAnsi="仿宋" w:eastAsia="仿宋"/>
          <w:b/>
          <w:szCs w:val="24"/>
        </w:rPr>
        <w:t>一、</w:t>
      </w:r>
      <w:r>
        <w:rPr>
          <w:rFonts w:ascii="仿宋" w:hAnsi="仿宋" w:eastAsia="仿宋"/>
          <w:b/>
          <w:szCs w:val="24"/>
        </w:rPr>
        <w:t>采购标的需实现的功能或者目标，以及为落实政府采购政策需满足的要求</w:t>
      </w:r>
    </w:p>
    <w:p>
      <w:pPr>
        <w:pStyle w:val="19"/>
        <w:tabs>
          <w:tab w:val="left" w:pos="7980"/>
        </w:tabs>
        <w:snapToGrid/>
        <w:spacing w:beforeLines="50" w:line="360" w:lineRule="auto"/>
        <w:ind w:firstLine="0"/>
        <w:rPr>
          <w:rFonts w:ascii="仿宋" w:hAnsi="仿宋" w:eastAsia="仿宋"/>
          <w:b/>
          <w:bCs/>
          <w:szCs w:val="24"/>
        </w:rPr>
      </w:pPr>
      <w:r>
        <w:rPr>
          <w:rFonts w:hint="eastAsia" w:ascii="仿宋" w:hAnsi="仿宋" w:eastAsia="仿宋"/>
          <w:b/>
          <w:bCs/>
          <w:szCs w:val="24"/>
        </w:rPr>
        <w:t>(一)采购</w:t>
      </w:r>
      <w:r>
        <w:rPr>
          <w:rFonts w:ascii="仿宋" w:hAnsi="仿宋" w:eastAsia="仿宋"/>
          <w:b/>
          <w:bCs/>
          <w:szCs w:val="24"/>
        </w:rPr>
        <w:t>标的需实现的功能或者目标：</w:t>
      </w:r>
    </w:p>
    <w:p>
      <w:pPr>
        <w:autoSpaceDE w:val="0"/>
        <w:autoSpaceDN w:val="0"/>
        <w:adjustRightInd w:val="0"/>
        <w:spacing w:before="50" w:line="360" w:lineRule="auto"/>
        <w:ind w:firstLine="480" w:firstLineChars="200"/>
        <w:rPr>
          <w:rFonts w:ascii="仿宋" w:hAnsi="仿宋" w:eastAsia="仿宋"/>
          <w:sz w:val="24"/>
        </w:rPr>
      </w:pPr>
      <w:r>
        <w:rPr>
          <w:rFonts w:hint="eastAsia" w:ascii="仿宋" w:hAnsi="仿宋" w:eastAsia="仿宋"/>
          <w:sz w:val="24"/>
        </w:rPr>
        <w:t>本次招标采购是为首都儿科研究所附属儿童医院购置消防设施设备的维护与保养，投标人应根据招标文件所提出的技术规格和服务要求，综合考虑设备的适用性，选择需要最佳性能价格比的设备前来投标。投标人应以技术先进的设备、优良的服务和优惠的价格，充分显示自己的竞争实力。</w:t>
      </w:r>
    </w:p>
    <w:p>
      <w:pPr>
        <w:pStyle w:val="19"/>
        <w:snapToGrid/>
        <w:spacing w:beforeLines="50" w:line="360" w:lineRule="auto"/>
        <w:ind w:firstLine="0"/>
        <w:rPr>
          <w:rFonts w:ascii="仿宋" w:hAnsi="仿宋" w:eastAsia="仿宋"/>
          <w:b/>
          <w:bCs/>
          <w:szCs w:val="24"/>
        </w:rPr>
      </w:pPr>
      <w:r>
        <w:rPr>
          <w:rFonts w:ascii="仿宋" w:hAnsi="仿宋" w:eastAsia="仿宋"/>
          <w:b/>
          <w:bCs/>
          <w:szCs w:val="24"/>
        </w:rPr>
        <w:t>（二）为落实政府采购政策需满足的要求</w:t>
      </w:r>
    </w:p>
    <w:p>
      <w:pPr>
        <w:numPr>
          <w:ilvl w:val="0"/>
          <w:numId w:val="1"/>
        </w:numPr>
        <w:tabs>
          <w:tab w:val="left" w:pos="900"/>
        </w:tabs>
        <w:spacing w:before="120" w:beforeLines="50" w:line="360" w:lineRule="auto"/>
        <w:rPr>
          <w:rFonts w:ascii="仿宋" w:hAnsi="仿宋" w:eastAsia="仿宋"/>
          <w:sz w:val="24"/>
        </w:rPr>
      </w:pPr>
      <w:r>
        <w:rPr>
          <w:rFonts w:ascii="仿宋" w:hAnsi="仿宋" w:eastAsia="仿宋"/>
          <w:sz w:val="24"/>
        </w:rPr>
        <w:t>促进中小企业发展政策：</w:t>
      </w:r>
      <w:r>
        <w:rPr>
          <w:rFonts w:hint="eastAsia" w:ascii="仿宋" w:hAnsi="仿宋" w:eastAsia="仿宋"/>
          <w:sz w:val="24"/>
        </w:rPr>
        <w:t>根据《政府采购促进中小企业发展管理办法》规定，本项目采购服务由中型、小型或微型企业承接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pPr>
        <w:pStyle w:val="19"/>
        <w:numPr>
          <w:ilvl w:val="0"/>
          <w:numId w:val="1"/>
        </w:numPr>
        <w:spacing w:beforeLines="50" w:line="360" w:lineRule="auto"/>
        <w:rPr>
          <w:rFonts w:ascii="仿宋" w:hAnsi="仿宋" w:eastAsia="仿宋"/>
          <w:szCs w:val="24"/>
        </w:rPr>
      </w:pPr>
      <w:r>
        <w:rPr>
          <w:rFonts w:ascii="仿宋" w:hAnsi="仿宋" w:eastAsia="仿宋"/>
          <w:szCs w:val="24"/>
        </w:rPr>
        <w:t>监狱企业扶持政策：</w:t>
      </w:r>
      <w:r>
        <w:rPr>
          <w:rFonts w:ascii="仿宋" w:hAnsi="仿宋" w:eastAsia="仿宋"/>
          <w:iCs/>
          <w:szCs w:val="24"/>
        </w:rPr>
        <w:t>投标人如为监狱企业将视同为小型或微型企业，</w:t>
      </w:r>
      <w:r>
        <w:rPr>
          <w:rFonts w:ascii="仿宋" w:hAnsi="仿宋" w:eastAsia="仿宋"/>
          <w:szCs w:val="24"/>
        </w:rPr>
        <w:t>且所投产品为小型或微型企业生产的，</w:t>
      </w:r>
      <w:r>
        <w:rPr>
          <w:rFonts w:ascii="仿宋" w:hAnsi="仿宋" w:eastAsia="仿宋"/>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ascii="仿宋" w:hAnsi="仿宋" w:eastAsia="仿宋"/>
          <w:szCs w:val="24"/>
        </w:rPr>
        <w:t>。</w:t>
      </w:r>
    </w:p>
    <w:p>
      <w:pPr>
        <w:pStyle w:val="19"/>
        <w:numPr>
          <w:ilvl w:val="0"/>
          <w:numId w:val="1"/>
        </w:numPr>
        <w:spacing w:beforeLines="50" w:line="360" w:lineRule="auto"/>
        <w:rPr>
          <w:rFonts w:ascii="仿宋" w:hAnsi="仿宋" w:eastAsia="仿宋"/>
          <w:szCs w:val="24"/>
        </w:rPr>
      </w:pPr>
      <w:r>
        <w:rPr>
          <w:rFonts w:hint="eastAsia" w:ascii="仿宋" w:hAnsi="仿宋" w:eastAsia="仿宋"/>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pPr>
        <w:numPr>
          <w:ilvl w:val="0"/>
          <w:numId w:val="1"/>
        </w:numPr>
        <w:tabs>
          <w:tab w:val="left" w:pos="900"/>
        </w:tabs>
        <w:spacing w:before="120" w:beforeLines="50" w:line="360" w:lineRule="auto"/>
        <w:rPr>
          <w:rFonts w:ascii="仿宋" w:hAnsi="仿宋" w:eastAsia="仿宋"/>
          <w:sz w:val="24"/>
        </w:rPr>
      </w:pPr>
      <w:r>
        <w:rPr>
          <w:rFonts w:hint="eastAsia" w:ascii="仿宋" w:hAnsi="仿宋" w:eastAsia="仿宋"/>
          <w:sz w:val="24"/>
        </w:rPr>
        <w:t>鼓励节能政策：投标人的</w:t>
      </w:r>
      <w:r>
        <w:rPr>
          <w:rFonts w:ascii="仿宋" w:hAnsi="仿宋" w:eastAsia="仿宋"/>
          <w:kern w:val="0"/>
          <w:sz w:val="24"/>
        </w:rPr>
        <w:t>投标产品</w:t>
      </w:r>
      <w:r>
        <w:rPr>
          <w:rFonts w:hint="eastAsia" w:ascii="仿宋" w:hAnsi="仿宋" w:eastAsia="仿宋"/>
          <w:kern w:val="0"/>
          <w:sz w:val="24"/>
        </w:rPr>
        <w:t>属于财政部、发展改革委公布的“节能产品政府采购品目清单”范围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认证机构出具的、处于有效期之内的节能产品认证证书。</w:t>
      </w:r>
      <w:r>
        <w:rPr>
          <w:rFonts w:hint="eastAsia" w:ascii="仿宋" w:hAnsi="仿宋" w:eastAsia="仿宋"/>
          <w:kern w:val="0"/>
          <w:sz w:val="24"/>
        </w:rPr>
        <w:t>国家确定的</w:t>
      </w:r>
      <w:r>
        <w:rPr>
          <w:rFonts w:hint="eastAsia" w:ascii="仿宋" w:hAnsi="仿宋" w:eastAsia="仿宋"/>
          <w:sz w:val="24"/>
        </w:rPr>
        <w:t>认证机构和节能产品获证产品信息可从市场监管总局组建的节能产品、环境标志产品认证结果信息发布平台或中国政府采购网（www.ccgp.gov.cn）建立的认证结果信息发布平台链接中查询下载。</w:t>
      </w:r>
    </w:p>
    <w:p>
      <w:pPr>
        <w:numPr>
          <w:ilvl w:val="0"/>
          <w:numId w:val="1"/>
        </w:numPr>
        <w:tabs>
          <w:tab w:val="left" w:pos="900"/>
        </w:tabs>
        <w:spacing w:before="120" w:beforeLines="50" w:line="360" w:lineRule="auto"/>
        <w:rPr>
          <w:rFonts w:ascii="仿宋" w:hAnsi="仿宋" w:eastAsia="仿宋"/>
          <w:sz w:val="24"/>
        </w:rPr>
      </w:pPr>
      <w:r>
        <w:rPr>
          <w:rFonts w:hint="eastAsia" w:ascii="仿宋" w:hAnsi="仿宋" w:eastAsia="仿宋"/>
          <w:sz w:val="24"/>
        </w:rPr>
        <w:t>鼓励环保政策：投标人的</w:t>
      </w:r>
      <w:r>
        <w:rPr>
          <w:rFonts w:ascii="仿宋" w:hAnsi="仿宋" w:eastAsia="仿宋"/>
          <w:kern w:val="0"/>
          <w:sz w:val="24"/>
        </w:rPr>
        <w:t>投标产品</w:t>
      </w:r>
      <w:r>
        <w:rPr>
          <w:rFonts w:hint="eastAsia" w:ascii="仿宋" w:hAnsi="仿宋" w:eastAsia="仿宋"/>
          <w:kern w:val="0"/>
          <w:sz w:val="24"/>
        </w:rPr>
        <w:t>属于财政部、生态环境部公布的“环境标志产品政府采购品目清单”范围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w:t>
      </w:r>
      <w:r>
        <w:rPr>
          <w:rFonts w:hint="eastAsia" w:ascii="仿宋" w:hAnsi="仿宋" w:eastAsia="仿宋"/>
          <w:kern w:val="0"/>
          <w:sz w:val="24"/>
        </w:rPr>
        <w:t>环境标志</w:t>
      </w:r>
      <w:r>
        <w:rPr>
          <w:rFonts w:hint="eastAsia" w:ascii="仿宋" w:hAnsi="仿宋" w:eastAsia="仿宋"/>
          <w:sz w:val="24"/>
        </w:rPr>
        <w:t>产品认证证书。</w:t>
      </w:r>
      <w:r>
        <w:rPr>
          <w:rFonts w:hint="eastAsia" w:ascii="仿宋" w:hAnsi="仿宋" w:eastAsia="仿宋"/>
          <w:kern w:val="0"/>
          <w:sz w:val="24"/>
        </w:rPr>
        <w:t>国家确定的</w:t>
      </w:r>
      <w:r>
        <w:rPr>
          <w:rFonts w:hint="eastAsia" w:ascii="仿宋" w:hAnsi="仿宋" w:eastAsia="仿宋"/>
          <w:sz w:val="24"/>
        </w:rPr>
        <w:t>认证机构和</w:t>
      </w:r>
      <w:r>
        <w:rPr>
          <w:rFonts w:hint="eastAsia" w:ascii="仿宋" w:hAnsi="仿宋" w:eastAsia="仿宋"/>
          <w:kern w:val="0"/>
          <w:sz w:val="24"/>
        </w:rPr>
        <w:t>环境标志</w:t>
      </w:r>
      <w:r>
        <w:rPr>
          <w:rFonts w:hint="eastAsia" w:ascii="仿宋" w:hAnsi="仿宋" w:eastAsia="仿宋"/>
          <w:sz w:val="24"/>
        </w:rPr>
        <w:t>产品获证产品信息可从市场监管总局组建的节能产品、环境标志产品认证结果信息发布平台或中国政府采购网（www.ccgp.gov.cn）建立的认证结果信息发布平台链接中查询下载。</w:t>
      </w:r>
    </w:p>
    <w:p>
      <w:pPr>
        <w:pStyle w:val="19"/>
        <w:spacing w:beforeLines="50" w:line="360" w:lineRule="auto"/>
        <w:ind w:firstLine="0"/>
        <w:rPr>
          <w:rFonts w:ascii="仿宋" w:hAnsi="仿宋" w:eastAsia="仿宋"/>
          <w:b/>
          <w:szCs w:val="24"/>
        </w:rPr>
      </w:pPr>
      <w:r>
        <w:rPr>
          <w:rFonts w:hint="eastAsia" w:ascii="仿宋" w:hAnsi="仿宋" w:eastAsia="仿宋"/>
          <w:b/>
          <w:szCs w:val="24"/>
        </w:rPr>
        <w:t>二、</w:t>
      </w:r>
      <w:r>
        <w:rPr>
          <w:rFonts w:ascii="仿宋" w:hAnsi="仿宋" w:eastAsia="仿宋"/>
          <w:b/>
          <w:szCs w:val="24"/>
        </w:rPr>
        <w:t>采购标的需执行的国家相关标准、行业标准、地方标准或者其他标准、规范</w:t>
      </w:r>
    </w:p>
    <w:p>
      <w:pPr>
        <w:spacing w:line="360" w:lineRule="auto"/>
        <w:ind w:firstLine="480" w:firstLineChars="200"/>
        <w:rPr>
          <w:rFonts w:hint="eastAsia" w:ascii="仿宋" w:hAnsi="仿宋" w:eastAsia="仿宋"/>
          <w:kern w:val="0"/>
          <w:sz w:val="24"/>
        </w:rPr>
      </w:pPr>
      <w:r>
        <w:rPr>
          <w:rFonts w:hint="eastAsia" w:ascii="仿宋" w:hAnsi="仿宋" w:eastAsia="仿宋"/>
          <w:kern w:val="0"/>
          <w:sz w:val="24"/>
        </w:rPr>
        <w:t>（GB55036-2022）消防设施通用规范</w:t>
      </w:r>
    </w:p>
    <w:p>
      <w:pPr>
        <w:spacing w:line="360" w:lineRule="auto"/>
        <w:ind w:firstLine="480" w:firstLineChars="200"/>
        <w:rPr>
          <w:rFonts w:hint="eastAsia" w:ascii="仿宋" w:hAnsi="仿宋" w:eastAsia="仿宋"/>
          <w:kern w:val="0"/>
          <w:sz w:val="24"/>
        </w:rPr>
      </w:pPr>
      <w:r>
        <w:rPr>
          <w:rFonts w:hint="eastAsia" w:ascii="仿宋" w:hAnsi="仿宋" w:eastAsia="仿宋"/>
          <w:kern w:val="0"/>
          <w:sz w:val="24"/>
        </w:rPr>
        <w:t xml:space="preserve">（GB55037-2022）建筑防火通用规范 </w:t>
      </w:r>
    </w:p>
    <w:p>
      <w:pPr>
        <w:spacing w:line="360" w:lineRule="auto"/>
        <w:ind w:firstLine="480" w:firstLineChars="200"/>
        <w:rPr>
          <w:rFonts w:hint="eastAsia" w:ascii="仿宋" w:hAnsi="仿宋" w:eastAsia="仿宋"/>
          <w:kern w:val="0"/>
          <w:sz w:val="24"/>
        </w:rPr>
      </w:pPr>
      <w:r>
        <w:rPr>
          <w:rFonts w:hint="eastAsia" w:ascii="仿宋" w:hAnsi="仿宋" w:eastAsia="仿宋"/>
          <w:kern w:val="0"/>
          <w:sz w:val="24"/>
        </w:rPr>
        <w:t>（GB50016—2014）（2018年版）建筑设计防火规范</w:t>
      </w:r>
    </w:p>
    <w:p>
      <w:pPr>
        <w:spacing w:line="360" w:lineRule="auto"/>
        <w:ind w:firstLine="480" w:firstLineChars="200"/>
        <w:rPr>
          <w:rFonts w:hint="eastAsia" w:ascii="仿宋" w:hAnsi="仿宋" w:eastAsia="仿宋"/>
          <w:kern w:val="0"/>
          <w:sz w:val="24"/>
        </w:rPr>
      </w:pPr>
      <w:r>
        <w:rPr>
          <w:rFonts w:hint="eastAsia" w:ascii="仿宋" w:hAnsi="仿宋" w:eastAsia="仿宋"/>
          <w:kern w:val="0"/>
          <w:sz w:val="24"/>
        </w:rPr>
        <w:t>（GB50116—2013）火灾自动报警系统设计规范</w:t>
      </w:r>
    </w:p>
    <w:p>
      <w:pPr>
        <w:spacing w:line="360" w:lineRule="auto"/>
        <w:ind w:firstLine="480" w:firstLineChars="200"/>
        <w:rPr>
          <w:rFonts w:hint="eastAsia" w:ascii="仿宋" w:hAnsi="仿宋" w:eastAsia="仿宋"/>
          <w:kern w:val="0"/>
          <w:sz w:val="24"/>
        </w:rPr>
      </w:pPr>
      <w:r>
        <w:rPr>
          <w:rFonts w:hint="eastAsia" w:ascii="仿宋" w:hAnsi="仿宋" w:eastAsia="仿宋"/>
          <w:kern w:val="0"/>
          <w:sz w:val="24"/>
        </w:rPr>
        <w:t>（GB50166—2019）火灾自动报警系统施工及验收标准</w:t>
      </w:r>
    </w:p>
    <w:p>
      <w:pPr>
        <w:spacing w:line="360" w:lineRule="auto"/>
        <w:ind w:firstLine="480" w:firstLineChars="200"/>
        <w:rPr>
          <w:rFonts w:hint="eastAsia" w:ascii="仿宋" w:hAnsi="仿宋" w:eastAsia="仿宋"/>
          <w:kern w:val="0"/>
          <w:sz w:val="24"/>
        </w:rPr>
      </w:pPr>
      <w:r>
        <w:rPr>
          <w:rFonts w:hint="eastAsia" w:ascii="仿宋" w:hAnsi="仿宋" w:eastAsia="仿宋"/>
          <w:kern w:val="0"/>
          <w:sz w:val="24"/>
        </w:rPr>
        <w:t>（GB50084—2017）自动喷水灭火系统设计规范</w:t>
      </w:r>
    </w:p>
    <w:p>
      <w:pPr>
        <w:spacing w:line="360" w:lineRule="auto"/>
        <w:ind w:firstLine="480" w:firstLineChars="200"/>
        <w:rPr>
          <w:rFonts w:hint="eastAsia" w:ascii="仿宋" w:hAnsi="仿宋" w:eastAsia="仿宋"/>
          <w:kern w:val="0"/>
          <w:sz w:val="24"/>
        </w:rPr>
      </w:pPr>
      <w:r>
        <w:rPr>
          <w:rFonts w:hint="eastAsia" w:ascii="仿宋" w:hAnsi="仿宋" w:eastAsia="仿宋"/>
          <w:kern w:val="0"/>
          <w:sz w:val="24"/>
        </w:rPr>
        <w:t>（GB50261—2017）自动喷水灭火系统施工及验收规范</w:t>
      </w:r>
    </w:p>
    <w:p>
      <w:pPr>
        <w:spacing w:line="360" w:lineRule="auto"/>
        <w:ind w:firstLine="480" w:firstLineChars="200"/>
        <w:rPr>
          <w:rFonts w:hint="eastAsia" w:ascii="仿宋" w:hAnsi="仿宋" w:eastAsia="仿宋"/>
          <w:kern w:val="0"/>
          <w:sz w:val="24"/>
        </w:rPr>
      </w:pPr>
      <w:r>
        <w:rPr>
          <w:rFonts w:hint="eastAsia" w:ascii="仿宋" w:hAnsi="仿宋" w:eastAsia="仿宋"/>
          <w:kern w:val="0"/>
          <w:sz w:val="24"/>
        </w:rPr>
        <w:t>（GB50370—2017）气体灭火系统设计规范</w:t>
      </w:r>
    </w:p>
    <w:p>
      <w:pPr>
        <w:spacing w:line="360" w:lineRule="auto"/>
        <w:ind w:firstLine="480" w:firstLineChars="200"/>
        <w:rPr>
          <w:rFonts w:hint="eastAsia" w:ascii="仿宋" w:hAnsi="仿宋" w:eastAsia="仿宋"/>
          <w:kern w:val="0"/>
          <w:sz w:val="24"/>
        </w:rPr>
      </w:pPr>
      <w:r>
        <w:rPr>
          <w:rFonts w:hint="eastAsia" w:ascii="仿宋" w:hAnsi="仿宋" w:eastAsia="仿宋"/>
          <w:kern w:val="0"/>
          <w:sz w:val="24"/>
        </w:rPr>
        <w:t>（GB50263—2007）气体灭火系统施工及验收规范</w:t>
      </w:r>
    </w:p>
    <w:p>
      <w:pPr>
        <w:spacing w:line="360" w:lineRule="auto"/>
        <w:ind w:firstLine="480" w:firstLineChars="200"/>
        <w:rPr>
          <w:rFonts w:hint="eastAsia" w:ascii="仿宋" w:hAnsi="仿宋" w:eastAsia="仿宋"/>
          <w:kern w:val="0"/>
          <w:sz w:val="24"/>
        </w:rPr>
      </w:pPr>
      <w:r>
        <w:rPr>
          <w:rFonts w:hint="eastAsia" w:ascii="仿宋" w:hAnsi="仿宋" w:eastAsia="仿宋"/>
          <w:kern w:val="0"/>
          <w:sz w:val="24"/>
        </w:rPr>
        <w:t>（CECS386-2014） 外储压七氟丙烷灭火系统技术规程</w:t>
      </w:r>
    </w:p>
    <w:p>
      <w:pPr>
        <w:spacing w:line="360" w:lineRule="auto"/>
        <w:ind w:firstLine="480" w:firstLineChars="200"/>
        <w:rPr>
          <w:rFonts w:hint="eastAsia" w:ascii="仿宋" w:hAnsi="仿宋" w:eastAsia="仿宋"/>
          <w:kern w:val="0"/>
          <w:sz w:val="24"/>
        </w:rPr>
      </w:pPr>
      <w:r>
        <w:rPr>
          <w:rFonts w:hint="eastAsia" w:ascii="仿宋" w:hAnsi="仿宋" w:eastAsia="仿宋"/>
          <w:kern w:val="0"/>
          <w:sz w:val="24"/>
        </w:rPr>
        <w:t>（GB50444—2008）建筑灭火器配置验收及检查规范</w:t>
      </w:r>
    </w:p>
    <w:p>
      <w:pPr>
        <w:spacing w:line="360" w:lineRule="auto"/>
        <w:ind w:firstLine="480" w:firstLineChars="200"/>
        <w:rPr>
          <w:rFonts w:hint="eastAsia" w:ascii="仿宋" w:hAnsi="仿宋" w:eastAsia="仿宋"/>
          <w:kern w:val="0"/>
          <w:sz w:val="24"/>
        </w:rPr>
      </w:pPr>
      <w:r>
        <w:rPr>
          <w:rFonts w:hint="eastAsia" w:ascii="仿宋" w:hAnsi="仿宋" w:eastAsia="仿宋"/>
          <w:kern w:val="0"/>
          <w:sz w:val="24"/>
        </w:rPr>
        <w:t>（GB50222-2017） 建筑内部装修设计防火规范</w:t>
      </w:r>
    </w:p>
    <w:p>
      <w:pPr>
        <w:spacing w:line="360" w:lineRule="auto"/>
        <w:ind w:firstLine="480" w:firstLineChars="200"/>
        <w:rPr>
          <w:rFonts w:hint="eastAsia" w:ascii="仿宋" w:hAnsi="仿宋" w:eastAsia="仿宋"/>
          <w:kern w:val="0"/>
          <w:sz w:val="24"/>
        </w:rPr>
      </w:pPr>
      <w:r>
        <w:rPr>
          <w:rFonts w:hint="eastAsia" w:ascii="仿宋" w:hAnsi="仿宋" w:eastAsia="仿宋"/>
          <w:kern w:val="0"/>
          <w:sz w:val="24"/>
        </w:rPr>
        <w:t>（GB50354—2005）建筑内部装修防火施工及验收规范</w:t>
      </w:r>
    </w:p>
    <w:p>
      <w:pPr>
        <w:spacing w:line="360" w:lineRule="auto"/>
        <w:ind w:firstLine="480" w:firstLineChars="200"/>
        <w:rPr>
          <w:rFonts w:hint="eastAsia" w:ascii="仿宋" w:hAnsi="仿宋" w:eastAsia="仿宋"/>
          <w:kern w:val="0"/>
          <w:sz w:val="24"/>
        </w:rPr>
      </w:pPr>
      <w:r>
        <w:rPr>
          <w:rFonts w:hint="eastAsia" w:ascii="仿宋" w:hAnsi="仿宋" w:eastAsia="仿宋"/>
          <w:kern w:val="0"/>
          <w:sz w:val="24"/>
        </w:rPr>
        <w:t>（DB11/T 3035—2023）建筑消防设施维护保养技术规范</w:t>
      </w:r>
    </w:p>
    <w:p>
      <w:pPr>
        <w:spacing w:line="360" w:lineRule="auto"/>
        <w:ind w:firstLine="480" w:firstLineChars="200"/>
        <w:rPr>
          <w:rFonts w:ascii="仿宋" w:hAnsi="仿宋" w:eastAsia="仿宋"/>
          <w:bCs/>
          <w:sz w:val="24"/>
        </w:rPr>
      </w:pPr>
      <w:r>
        <w:rPr>
          <w:rFonts w:hint="eastAsia" w:ascii="仿宋" w:hAnsi="仿宋" w:eastAsia="仿宋"/>
          <w:kern w:val="0"/>
          <w:sz w:val="24"/>
        </w:rPr>
        <w:t>如有最新标准或要求按最新的国家或北京市相关规定执行符合已颁布的现行中华人民共和国认可的国家标准、地方标准和行业标准。如果这些标准内容有矛盾时，应按最高标准的条款执行。</w:t>
      </w:r>
    </w:p>
    <w:p>
      <w:pPr>
        <w:pStyle w:val="19"/>
        <w:spacing w:beforeLines="50" w:line="360" w:lineRule="auto"/>
        <w:ind w:firstLine="0"/>
        <w:rPr>
          <w:rFonts w:ascii="仿宋" w:hAnsi="仿宋" w:eastAsia="仿宋"/>
          <w:b/>
          <w:szCs w:val="24"/>
        </w:rPr>
      </w:pPr>
      <w:r>
        <w:rPr>
          <w:rFonts w:hint="eastAsia" w:ascii="仿宋" w:hAnsi="仿宋" w:eastAsia="仿宋"/>
          <w:b/>
          <w:szCs w:val="24"/>
        </w:rPr>
        <w:t>三、采购标的的数量、采购项目交付或者实施的时间和地点</w:t>
      </w:r>
    </w:p>
    <w:p>
      <w:pPr>
        <w:pStyle w:val="19"/>
        <w:snapToGrid/>
        <w:spacing w:beforeLines="50" w:line="360" w:lineRule="auto"/>
        <w:ind w:left="-208" w:firstLine="0"/>
        <w:rPr>
          <w:rFonts w:ascii="仿宋" w:hAnsi="仿宋" w:eastAsia="仿宋"/>
          <w:b/>
          <w:szCs w:val="24"/>
        </w:rPr>
      </w:pPr>
      <w:r>
        <w:rPr>
          <w:rFonts w:hint="eastAsia" w:ascii="仿宋" w:hAnsi="仿宋" w:eastAsia="仿宋"/>
          <w:b/>
          <w:szCs w:val="24"/>
        </w:rPr>
        <w:t>（一）采购标的的数量</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4351"/>
        <w:gridCol w:w="1462"/>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5" w:type="pct"/>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包号</w:t>
            </w:r>
          </w:p>
        </w:tc>
        <w:tc>
          <w:tcPr>
            <w:tcW w:w="2553" w:type="pct"/>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标的名称</w:t>
            </w:r>
          </w:p>
        </w:tc>
        <w:tc>
          <w:tcPr>
            <w:tcW w:w="858" w:type="pct"/>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数量</w:t>
            </w:r>
          </w:p>
        </w:tc>
        <w:tc>
          <w:tcPr>
            <w:tcW w:w="984" w:type="pct"/>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05" w:type="pct"/>
            <w:noWrap/>
            <w:vAlign w:val="center"/>
          </w:tcPr>
          <w:p>
            <w:pPr>
              <w:jc w:val="center"/>
              <w:rPr>
                <w:rFonts w:ascii="仿宋_GB2312" w:hAnsi="仿宋" w:eastAsia="仿宋_GB2312"/>
                <w:sz w:val="24"/>
              </w:rPr>
            </w:pPr>
            <w:r>
              <w:rPr>
                <w:rFonts w:hint="eastAsia" w:ascii="仿宋_GB2312" w:hAnsi="仿宋" w:eastAsia="仿宋_GB2312"/>
                <w:sz w:val="24"/>
              </w:rPr>
              <w:t>1</w:t>
            </w:r>
          </w:p>
        </w:tc>
        <w:tc>
          <w:tcPr>
            <w:tcW w:w="2553" w:type="pct"/>
            <w:noWrap w:val="0"/>
            <w:vAlign w:val="center"/>
          </w:tcPr>
          <w:p>
            <w:pPr>
              <w:jc w:val="center"/>
              <w:rPr>
                <w:rFonts w:ascii="仿宋_GB2312" w:hAnsi="仿宋" w:eastAsia="仿宋_GB2312" w:cs="宋体"/>
                <w:kern w:val="0"/>
                <w:sz w:val="24"/>
              </w:rPr>
            </w:pPr>
            <w:r>
              <w:rPr>
                <w:rFonts w:hint="eastAsia" w:ascii="仿宋_GB2312" w:hAnsi="仿宋" w:eastAsia="仿宋_GB2312" w:cs="宋体"/>
                <w:kern w:val="0"/>
                <w:sz w:val="24"/>
              </w:rPr>
              <w:t>消防设施设备的维护与保养</w:t>
            </w:r>
          </w:p>
        </w:tc>
        <w:tc>
          <w:tcPr>
            <w:tcW w:w="858" w:type="pct"/>
            <w:noWrap/>
            <w:vAlign w:val="center"/>
          </w:tcPr>
          <w:p>
            <w:pPr>
              <w:widowControl/>
              <w:jc w:val="center"/>
              <w:rPr>
                <w:rFonts w:ascii="仿宋" w:hAnsi="仿宋" w:eastAsia="仿宋"/>
                <w:sz w:val="24"/>
              </w:rPr>
            </w:pPr>
            <w:r>
              <w:rPr>
                <w:rFonts w:hint="eastAsia" w:ascii="仿宋" w:hAnsi="仿宋" w:eastAsia="仿宋"/>
                <w:sz w:val="24"/>
              </w:rPr>
              <w:t>1项</w:t>
            </w:r>
            <w:r>
              <w:rPr>
                <w:rFonts w:ascii="仿宋" w:hAnsi="仿宋" w:eastAsia="仿宋"/>
                <w:sz w:val="24"/>
              </w:rPr>
              <w:t xml:space="preserve"> </w:t>
            </w:r>
          </w:p>
        </w:tc>
        <w:tc>
          <w:tcPr>
            <w:tcW w:w="984" w:type="pct"/>
            <w:noWrap w:val="0"/>
            <w:vAlign w:val="center"/>
          </w:tcPr>
          <w:p>
            <w:pPr>
              <w:widowControl/>
              <w:jc w:val="center"/>
              <w:rPr>
                <w:rFonts w:ascii="仿宋" w:hAnsi="仿宋" w:eastAsia="仿宋"/>
                <w:sz w:val="24"/>
              </w:rPr>
            </w:pPr>
            <w:r>
              <w:rPr>
                <w:rFonts w:hint="eastAsia" w:ascii="仿宋" w:hAnsi="仿宋" w:eastAsia="仿宋"/>
                <w:sz w:val="24"/>
              </w:rPr>
              <w:t>否</w:t>
            </w:r>
          </w:p>
        </w:tc>
      </w:tr>
    </w:tbl>
    <w:p>
      <w:pPr>
        <w:pStyle w:val="19"/>
        <w:snapToGrid/>
        <w:spacing w:beforeLines="50" w:line="360" w:lineRule="auto"/>
        <w:ind w:left="-208" w:firstLine="0"/>
        <w:rPr>
          <w:rFonts w:ascii="仿宋" w:hAnsi="仿宋" w:eastAsia="仿宋"/>
          <w:b/>
          <w:szCs w:val="24"/>
        </w:rPr>
      </w:pPr>
      <w:r>
        <w:rPr>
          <w:rFonts w:hint="eastAsia" w:ascii="仿宋" w:hAnsi="仿宋" w:eastAsia="仿宋"/>
          <w:b/>
          <w:szCs w:val="24"/>
        </w:rPr>
        <w:t>（二）采购项目交付或者实施的时间和地点：</w:t>
      </w:r>
    </w:p>
    <w:p>
      <w:pPr>
        <w:tabs>
          <w:tab w:val="left" w:pos="900"/>
        </w:tabs>
        <w:spacing w:before="120" w:beforeLines="50" w:line="360" w:lineRule="auto"/>
        <w:rPr>
          <w:rFonts w:ascii="仿宋" w:hAnsi="仿宋" w:eastAsia="仿宋"/>
          <w:sz w:val="24"/>
          <w:u w:val="single"/>
        </w:rPr>
      </w:pPr>
      <w:r>
        <w:rPr>
          <w:rFonts w:ascii="仿宋" w:hAnsi="仿宋" w:eastAsia="仿宋" w:cs="宋体"/>
          <w:sz w:val="24"/>
        </w:rPr>
        <w:t>1</w:t>
      </w:r>
      <w:r>
        <w:rPr>
          <w:rFonts w:hint="eastAsia" w:ascii="仿宋" w:hAnsi="仿宋" w:eastAsia="仿宋" w:cs="宋体"/>
          <w:sz w:val="24"/>
        </w:rPr>
        <w:t>、</w:t>
      </w:r>
      <w:r>
        <w:rPr>
          <w:rFonts w:hint="eastAsia" w:ascii="仿宋" w:hAnsi="仿宋" w:eastAsia="仿宋"/>
          <w:sz w:val="24"/>
        </w:rPr>
        <w:t>采购项目（标的）交付的时间（服务期限）：2025年1月1日至2027年12月31日，一次招标三年有效，合同一年一签订。</w:t>
      </w:r>
    </w:p>
    <w:p>
      <w:pPr>
        <w:pStyle w:val="19"/>
        <w:spacing w:beforeLines="50" w:line="360" w:lineRule="auto"/>
        <w:ind w:firstLine="0"/>
        <w:rPr>
          <w:rFonts w:ascii="仿宋" w:hAnsi="仿宋" w:eastAsia="仿宋"/>
          <w:b/>
          <w:szCs w:val="24"/>
        </w:rPr>
      </w:pPr>
      <w:r>
        <w:rPr>
          <w:rFonts w:hint="eastAsia" w:ascii="仿宋" w:hAnsi="仿宋" w:eastAsia="仿宋" w:cs="宋体"/>
        </w:rPr>
        <w:t>2、采购项目（标的）交付的地点（服务地点）：采购人指定地点。</w:t>
      </w:r>
    </w:p>
    <w:p>
      <w:pPr>
        <w:pStyle w:val="19"/>
        <w:spacing w:beforeLines="50" w:line="360" w:lineRule="auto"/>
        <w:ind w:firstLine="0"/>
        <w:rPr>
          <w:rFonts w:ascii="仿宋" w:hAnsi="仿宋" w:eastAsia="仿宋"/>
          <w:b/>
          <w:szCs w:val="24"/>
        </w:rPr>
      </w:pPr>
      <w:r>
        <w:rPr>
          <w:rFonts w:hint="eastAsia" w:ascii="仿宋" w:hAnsi="仿宋" w:eastAsia="仿宋"/>
          <w:b/>
          <w:szCs w:val="24"/>
        </w:rPr>
        <w:t>四、采购标的需满足的服务标准、期限、效率等要求</w:t>
      </w:r>
    </w:p>
    <w:p>
      <w:pPr>
        <w:tabs>
          <w:tab w:val="left" w:pos="900"/>
        </w:tabs>
        <w:spacing w:before="120" w:beforeLines="50" w:line="360" w:lineRule="auto"/>
        <w:rPr>
          <w:rFonts w:ascii="仿宋" w:hAnsi="仿宋" w:eastAsia="仿宋"/>
          <w:b/>
          <w:sz w:val="24"/>
        </w:rPr>
      </w:pPr>
      <w:r>
        <w:rPr>
          <w:rFonts w:hint="eastAsia" w:ascii="仿宋" w:hAnsi="仿宋" w:eastAsia="仿宋"/>
          <w:b/>
          <w:sz w:val="24"/>
        </w:rPr>
        <w:t>（一）采购标的需满足的服务标准、效率要求（以各包技术规格中要求为准，如技术规格中无要求，则以本款要求为准。）</w:t>
      </w:r>
    </w:p>
    <w:p>
      <w:pPr>
        <w:pStyle w:val="9"/>
        <w:spacing w:before="120" w:beforeLines="50" w:line="360" w:lineRule="auto"/>
        <w:ind w:left="420"/>
        <w:rPr>
          <w:rFonts w:hint="default" w:ascii="仿宋" w:hAnsi="仿宋" w:eastAsia="仿宋"/>
          <w:b/>
          <w:sz w:val="24"/>
          <w:szCs w:val="24"/>
        </w:rPr>
      </w:pPr>
      <w:r>
        <w:rPr>
          <w:rFonts w:ascii="仿宋" w:hAnsi="仿宋" w:eastAsia="仿宋"/>
          <w:bCs/>
          <w:sz w:val="24"/>
          <w:szCs w:val="24"/>
        </w:rPr>
        <w:t>详见七、采购招标的需满足的质量、安全、技术规格、物理特性等要求。</w:t>
      </w:r>
    </w:p>
    <w:p>
      <w:pPr>
        <w:tabs>
          <w:tab w:val="left" w:pos="900"/>
        </w:tabs>
        <w:spacing w:before="120" w:beforeLines="50" w:line="360" w:lineRule="auto"/>
        <w:rPr>
          <w:rFonts w:ascii="仿宋" w:hAnsi="仿宋" w:eastAsia="仿宋"/>
          <w:b/>
          <w:sz w:val="24"/>
        </w:rPr>
      </w:pPr>
      <w:r>
        <w:rPr>
          <w:rFonts w:hint="eastAsia" w:ascii="仿宋" w:hAnsi="仿宋" w:eastAsia="仿宋"/>
          <w:b/>
          <w:sz w:val="24"/>
        </w:rPr>
        <w:t>（二）采购标的需满足的服务期限要求</w:t>
      </w:r>
    </w:p>
    <w:p>
      <w:pPr>
        <w:tabs>
          <w:tab w:val="left" w:pos="900"/>
        </w:tabs>
        <w:spacing w:before="120" w:beforeLines="50" w:line="360" w:lineRule="auto"/>
        <w:rPr>
          <w:rStyle w:val="18"/>
        </w:rPr>
      </w:pPr>
      <w:r>
        <w:rPr>
          <w:rFonts w:hint="eastAsia" w:ascii="仿宋" w:hAnsi="仿宋" w:eastAsia="仿宋"/>
          <w:sz w:val="24"/>
        </w:rPr>
        <w:t>服务期限：2025年1月1日至2027年12月31日，一次招标三年有效，合同一年一签订。</w:t>
      </w:r>
    </w:p>
    <w:p>
      <w:pPr>
        <w:pStyle w:val="19"/>
        <w:spacing w:beforeLines="50" w:line="360" w:lineRule="auto"/>
        <w:ind w:firstLine="0"/>
        <w:rPr>
          <w:rFonts w:hint="eastAsia" w:ascii="仿宋" w:hAnsi="仿宋" w:eastAsia="仿宋"/>
          <w:b/>
          <w:szCs w:val="24"/>
        </w:rPr>
      </w:pPr>
      <w:r>
        <w:rPr>
          <w:rFonts w:hint="eastAsia" w:ascii="仿宋" w:hAnsi="仿宋" w:eastAsia="仿宋"/>
          <w:b/>
          <w:szCs w:val="24"/>
        </w:rPr>
        <w:t>五、采购标的物验收标准</w:t>
      </w:r>
    </w:p>
    <w:p>
      <w:pPr>
        <w:pStyle w:val="19"/>
        <w:spacing w:beforeLines="50" w:line="360" w:lineRule="auto"/>
        <w:ind w:firstLine="480" w:firstLineChars="200"/>
        <w:rPr>
          <w:rFonts w:ascii="仿宋" w:hAnsi="仿宋" w:eastAsia="仿宋"/>
          <w:szCs w:val="24"/>
        </w:rPr>
      </w:pPr>
      <w:r>
        <w:rPr>
          <w:rFonts w:hint="eastAsia" w:ascii="仿宋" w:hAnsi="仿宋" w:eastAsia="仿宋" w:cs="宋体"/>
          <w:kern w:val="0"/>
          <w:szCs w:val="24"/>
        </w:rPr>
        <w:t>参照国家相关规定执行。</w:t>
      </w:r>
    </w:p>
    <w:p>
      <w:pPr>
        <w:tabs>
          <w:tab w:val="left" w:pos="900"/>
        </w:tabs>
        <w:spacing w:before="120" w:beforeLines="50" w:line="360" w:lineRule="auto"/>
        <w:rPr>
          <w:rFonts w:ascii="仿宋" w:hAnsi="仿宋" w:eastAsia="仿宋"/>
          <w:b/>
          <w:sz w:val="24"/>
        </w:rPr>
      </w:pPr>
      <w:r>
        <w:rPr>
          <w:rFonts w:ascii="仿宋" w:hAnsi="仿宋" w:eastAsia="仿宋"/>
          <w:b/>
          <w:sz w:val="24"/>
        </w:rPr>
        <w:t>六</w:t>
      </w:r>
      <w:r>
        <w:rPr>
          <w:rFonts w:hint="eastAsia" w:ascii="仿宋" w:hAnsi="仿宋" w:eastAsia="仿宋"/>
          <w:b/>
          <w:sz w:val="24"/>
        </w:rPr>
        <w:t>、采购标的的其他技术、服务等要求</w:t>
      </w:r>
    </w:p>
    <w:p>
      <w:pPr>
        <w:tabs>
          <w:tab w:val="left" w:pos="900"/>
        </w:tabs>
        <w:spacing w:before="120" w:beforeLines="50" w:line="360" w:lineRule="auto"/>
        <w:ind w:firstLine="480" w:firstLineChars="200"/>
        <w:rPr>
          <w:rFonts w:ascii="仿宋" w:hAnsi="仿宋" w:eastAsia="仿宋"/>
          <w:sz w:val="24"/>
        </w:rPr>
      </w:pPr>
      <w:r>
        <w:rPr>
          <w:rFonts w:hint="eastAsia" w:ascii="仿宋" w:hAnsi="仿宋" w:eastAsia="仿宋"/>
          <w:sz w:val="24"/>
        </w:rPr>
        <w:t>投标人需按照招标文件要求提供项目需求理解分析、服务实施与质量控制方案、消防设施设备的维护与保养服务方案、运行安全措施、</w:t>
      </w:r>
      <w:r>
        <w:rPr>
          <w:rFonts w:hint="eastAsia" w:ascii="仿宋" w:hAnsi="仿宋" w:eastAsia="仿宋" w:cs="宋体"/>
          <w:kern w:val="0"/>
          <w:sz w:val="24"/>
          <w:szCs w:val="21"/>
        </w:rPr>
        <w:t>拟投入项目团队人员</w:t>
      </w:r>
      <w:r>
        <w:rPr>
          <w:rFonts w:hint="eastAsia" w:ascii="仿宋" w:hAnsi="仿宋" w:eastAsia="仿宋"/>
          <w:sz w:val="24"/>
        </w:rPr>
        <w:t>、内部管理制度方案、拟采取的应急事件处理预案和培训方案等。</w:t>
      </w:r>
    </w:p>
    <w:p>
      <w:pPr>
        <w:tabs>
          <w:tab w:val="left" w:pos="900"/>
        </w:tabs>
        <w:spacing w:before="120" w:beforeLines="50" w:line="360" w:lineRule="auto"/>
        <w:rPr>
          <w:rFonts w:ascii="仿宋" w:hAnsi="仿宋" w:eastAsia="仿宋"/>
          <w:b/>
          <w:sz w:val="24"/>
        </w:rPr>
      </w:pPr>
      <w:r>
        <w:rPr>
          <w:rFonts w:hint="eastAsia" w:ascii="仿宋" w:hAnsi="仿宋" w:eastAsia="仿宋"/>
          <w:b/>
          <w:sz w:val="24"/>
        </w:rPr>
        <w:t>七、采购标的需满足的质量、安全、技术规格、物理特性等要求：</w:t>
      </w:r>
    </w:p>
    <w:p>
      <w:pPr>
        <w:tabs>
          <w:tab w:val="left" w:pos="900"/>
        </w:tabs>
        <w:snapToGrid w:val="0"/>
        <w:spacing w:line="360" w:lineRule="auto"/>
        <w:jc w:val="center"/>
        <w:rPr>
          <w:rFonts w:hint="eastAsia" w:ascii="仿宋" w:hAnsi="仿宋" w:eastAsia="仿宋"/>
          <w:b/>
          <w:sz w:val="24"/>
        </w:rPr>
      </w:pPr>
      <w:r>
        <w:rPr>
          <w:rFonts w:ascii="宋体" w:hAnsi="宋体"/>
          <w:szCs w:val="21"/>
        </w:rPr>
        <w:br w:type="page"/>
      </w:r>
      <w:r>
        <w:rPr>
          <w:rFonts w:ascii="仿宋" w:hAnsi="仿宋" w:eastAsia="仿宋"/>
          <w:b/>
          <w:sz w:val="24"/>
        </w:rPr>
        <w:t>第</w:t>
      </w:r>
      <w:r>
        <w:rPr>
          <w:rFonts w:hint="eastAsia" w:ascii="仿宋" w:hAnsi="仿宋" w:eastAsia="仿宋"/>
          <w:b/>
          <w:sz w:val="24"/>
        </w:rPr>
        <w:t>1</w:t>
      </w:r>
      <w:r>
        <w:rPr>
          <w:rFonts w:ascii="仿宋" w:hAnsi="仿宋" w:eastAsia="仿宋"/>
          <w:b/>
          <w:sz w:val="24"/>
        </w:rPr>
        <w:t>包</w:t>
      </w:r>
      <w:r>
        <w:rPr>
          <w:rFonts w:hint="eastAsia" w:ascii="仿宋" w:hAnsi="仿宋" w:eastAsia="仿宋"/>
          <w:b/>
          <w:sz w:val="24"/>
        </w:rPr>
        <w:t xml:space="preserve"> 消防设施设备的维护与保养</w:t>
      </w:r>
    </w:p>
    <w:p>
      <w:pPr>
        <w:spacing w:line="360" w:lineRule="auto"/>
        <w:contextualSpacing/>
        <w:rPr>
          <w:rFonts w:hint="eastAsia" w:ascii="仿宋" w:hAnsi="仿宋" w:eastAsia="仿宋"/>
          <w:b/>
          <w:bCs/>
          <w:sz w:val="24"/>
        </w:rPr>
      </w:pPr>
      <w:r>
        <w:rPr>
          <w:rFonts w:hint="eastAsia" w:ascii="仿宋" w:hAnsi="仿宋" w:eastAsia="仿宋"/>
          <w:b/>
          <w:bCs/>
          <w:sz w:val="24"/>
        </w:rPr>
        <w:t>一、服务内容：</w:t>
      </w:r>
    </w:p>
    <w:p>
      <w:pPr>
        <w:spacing w:line="360" w:lineRule="auto"/>
        <w:ind w:firstLine="480" w:firstLineChars="200"/>
        <w:contextualSpacing/>
        <w:rPr>
          <w:rFonts w:ascii="仿宋" w:hAnsi="仿宋" w:eastAsia="仿宋"/>
          <w:sz w:val="24"/>
        </w:rPr>
      </w:pPr>
      <w:r>
        <w:rPr>
          <w:rFonts w:hint="eastAsia" w:ascii="仿宋" w:hAnsi="仿宋" w:eastAsia="仿宋" w:cs="宋体"/>
          <w:sz w:val="24"/>
        </w:rPr>
        <w:t>门诊楼、新门诊楼、病房楼、科研楼、科研楼东扩、感染消化楼、地下停车场、供应室、后勤小楼等9栋建筑，按照《建筑消防设施维护保养技术规范》（DB11T3035-2023）及国家及北京市有关建筑消防设施的法规和技术规范，对建筑消防设施设备进行日常运行维护、巡视、保养、保障、维修、测试等服务工作。</w:t>
      </w:r>
    </w:p>
    <w:p>
      <w:pPr>
        <w:spacing w:line="360" w:lineRule="auto"/>
        <w:contextualSpacing/>
        <w:outlineLvl w:val="2"/>
        <w:rPr>
          <w:rFonts w:ascii="仿宋" w:hAnsi="仿宋" w:eastAsia="仿宋"/>
          <w:b/>
          <w:bCs/>
          <w:sz w:val="24"/>
        </w:rPr>
      </w:pPr>
      <w:r>
        <w:rPr>
          <w:rFonts w:hint="eastAsia" w:ascii="仿宋" w:hAnsi="仿宋" w:eastAsia="仿宋"/>
          <w:b/>
          <w:bCs/>
          <w:sz w:val="24"/>
        </w:rPr>
        <w:t>二、</w:t>
      </w:r>
      <w:bookmarkStart w:id="0" w:name="_Toc132823481"/>
      <w:bookmarkStart w:id="1" w:name="_Toc61001812"/>
      <w:bookmarkStart w:id="2" w:name="_Toc132455116"/>
      <w:bookmarkStart w:id="3" w:name="_Toc132969307"/>
      <w:bookmarkStart w:id="4" w:name="_Toc132455348"/>
      <w:bookmarkStart w:id="5" w:name="_Toc132455215"/>
      <w:r>
        <w:rPr>
          <w:rFonts w:hint="eastAsia" w:ascii="仿宋" w:hAnsi="仿宋" w:eastAsia="仿宋"/>
          <w:b/>
          <w:bCs/>
          <w:sz w:val="24"/>
        </w:rPr>
        <w:t>现有设备情况(消防设备一览表)</w:t>
      </w:r>
    </w:p>
    <w:bookmarkEnd w:id="0"/>
    <w:bookmarkEnd w:id="1"/>
    <w:bookmarkEnd w:id="2"/>
    <w:bookmarkEnd w:id="3"/>
    <w:bookmarkEnd w:id="4"/>
    <w:bookmarkEnd w:id="5"/>
    <w:tbl>
      <w:tblPr>
        <w:tblStyle w:val="15"/>
        <w:tblW w:w="5000" w:type="pct"/>
        <w:jc w:val="center"/>
        <w:tblLayout w:type="autofit"/>
        <w:tblCellMar>
          <w:top w:w="0" w:type="dxa"/>
          <w:left w:w="108" w:type="dxa"/>
          <w:bottom w:w="0" w:type="dxa"/>
          <w:right w:w="108" w:type="dxa"/>
        </w:tblCellMar>
      </w:tblPr>
      <w:tblGrid>
        <w:gridCol w:w="994"/>
        <w:gridCol w:w="4445"/>
        <w:gridCol w:w="3083"/>
      </w:tblGrid>
      <w:tr>
        <w:tblPrEx>
          <w:tblCellMar>
            <w:top w:w="0" w:type="dxa"/>
            <w:left w:w="108" w:type="dxa"/>
            <w:bottom w:w="0" w:type="dxa"/>
            <w:right w:w="108" w:type="dxa"/>
          </w:tblCellMar>
        </w:tblPrEx>
        <w:trPr>
          <w:trHeight w:val="435"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黑体"/>
                <w:color w:val="000000"/>
                <w:sz w:val="24"/>
              </w:rPr>
            </w:pPr>
            <w:bookmarkStart w:id="6" w:name="_Toc132455216"/>
            <w:bookmarkStart w:id="7" w:name="_Toc61001813"/>
            <w:bookmarkStart w:id="8" w:name="_Toc132969308"/>
            <w:bookmarkStart w:id="9" w:name="_Toc132455117"/>
            <w:bookmarkStart w:id="10" w:name="_Toc132455349"/>
            <w:bookmarkStart w:id="11" w:name="_Toc132823482"/>
            <w:r>
              <w:rPr>
                <w:rFonts w:hint="eastAsia" w:ascii="仿宋" w:hAnsi="仿宋" w:eastAsia="仿宋" w:cs="黑体"/>
                <w:color w:val="000000"/>
                <w:kern w:val="0"/>
                <w:sz w:val="24"/>
                <w:lang w:bidi="ar"/>
              </w:rPr>
              <w:t>消防设备设施</w:t>
            </w:r>
          </w:p>
        </w:tc>
      </w:tr>
      <w:tr>
        <w:tblPrEx>
          <w:tblCellMar>
            <w:top w:w="0" w:type="dxa"/>
            <w:left w:w="108" w:type="dxa"/>
            <w:bottom w:w="0" w:type="dxa"/>
            <w:right w:w="108" w:type="dxa"/>
          </w:tblCellMar>
        </w:tblPrEx>
        <w:trPr>
          <w:trHeight w:val="435" w:hRule="atLeast"/>
          <w:jc w:val="center"/>
        </w:trPr>
        <w:tc>
          <w:tcPr>
            <w:tcW w:w="58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等线"/>
                <w:b/>
                <w:bCs/>
                <w:color w:val="000000"/>
                <w:sz w:val="24"/>
              </w:rPr>
            </w:pPr>
            <w:r>
              <w:rPr>
                <w:rFonts w:hint="eastAsia" w:ascii="仿宋" w:hAnsi="仿宋" w:eastAsia="仿宋" w:cs="等线"/>
                <w:b/>
                <w:bCs/>
                <w:color w:val="000000"/>
                <w:kern w:val="0"/>
                <w:sz w:val="24"/>
                <w:lang w:bidi="ar"/>
              </w:rPr>
              <w:t>序号</w:t>
            </w:r>
          </w:p>
        </w:tc>
        <w:tc>
          <w:tcPr>
            <w:tcW w:w="2608"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等线"/>
                <w:b/>
                <w:bCs/>
                <w:color w:val="000000"/>
                <w:sz w:val="24"/>
              </w:rPr>
            </w:pPr>
            <w:r>
              <w:rPr>
                <w:rFonts w:hint="eastAsia" w:ascii="仿宋" w:hAnsi="仿宋" w:eastAsia="仿宋" w:cs="等线"/>
                <w:b/>
                <w:bCs/>
                <w:color w:val="000000"/>
                <w:kern w:val="0"/>
                <w:sz w:val="24"/>
                <w:lang w:bidi="ar"/>
              </w:rPr>
              <w:t>设备名称</w:t>
            </w:r>
          </w:p>
        </w:tc>
        <w:tc>
          <w:tcPr>
            <w:tcW w:w="1809"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等线"/>
                <w:b/>
                <w:bCs/>
                <w:color w:val="000000"/>
                <w:sz w:val="24"/>
              </w:rPr>
            </w:pPr>
            <w:r>
              <w:rPr>
                <w:rFonts w:hint="eastAsia" w:ascii="仿宋" w:hAnsi="仿宋" w:eastAsia="仿宋" w:cs="等线"/>
                <w:b/>
                <w:bCs/>
                <w:color w:val="000000"/>
                <w:kern w:val="0"/>
                <w:sz w:val="24"/>
                <w:lang w:bidi="ar"/>
              </w:rPr>
              <w:t>数量</w:t>
            </w:r>
          </w:p>
        </w:tc>
      </w:tr>
      <w:tr>
        <w:tblPrEx>
          <w:tblCellMar>
            <w:top w:w="0" w:type="dxa"/>
            <w:left w:w="108" w:type="dxa"/>
            <w:bottom w:w="0" w:type="dxa"/>
            <w:right w:w="108" w:type="dxa"/>
          </w:tblCellMar>
        </w:tblPrEx>
        <w:trPr>
          <w:trHeight w:val="400" w:hRule="atLeast"/>
          <w:jc w:val="center"/>
        </w:trPr>
        <w:tc>
          <w:tcPr>
            <w:tcW w:w="58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1</w:t>
            </w:r>
          </w:p>
        </w:tc>
        <w:tc>
          <w:tcPr>
            <w:tcW w:w="2608"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烟感探测器</w:t>
            </w:r>
          </w:p>
        </w:tc>
        <w:tc>
          <w:tcPr>
            <w:tcW w:w="1809"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2554</w:t>
            </w:r>
          </w:p>
        </w:tc>
      </w:tr>
      <w:tr>
        <w:tblPrEx>
          <w:tblCellMar>
            <w:top w:w="0" w:type="dxa"/>
            <w:left w:w="108" w:type="dxa"/>
            <w:bottom w:w="0" w:type="dxa"/>
            <w:right w:w="108" w:type="dxa"/>
          </w:tblCellMar>
        </w:tblPrEx>
        <w:trPr>
          <w:trHeight w:val="400" w:hRule="atLeast"/>
          <w:jc w:val="center"/>
        </w:trPr>
        <w:tc>
          <w:tcPr>
            <w:tcW w:w="58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2</w:t>
            </w:r>
          </w:p>
        </w:tc>
        <w:tc>
          <w:tcPr>
            <w:tcW w:w="2608"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温感探测器</w:t>
            </w:r>
          </w:p>
        </w:tc>
        <w:tc>
          <w:tcPr>
            <w:tcW w:w="1809"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338</w:t>
            </w:r>
          </w:p>
        </w:tc>
      </w:tr>
      <w:tr>
        <w:tblPrEx>
          <w:tblCellMar>
            <w:top w:w="0" w:type="dxa"/>
            <w:left w:w="108" w:type="dxa"/>
            <w:bottom w:w="0" w:type="dxa"/>
            <w:right w:w="108" w:type="dxa"/>
          </w:tblCellMar>
        </w:tblPrEx>
        <w:trPr>
          <w:trHeight w:val="400" w:hRule="atLeast"/>
          <w:jc w:val="center"/>
        </w:trPr>
        <w:tc>
          <w:tcPr>
            <w:tcW w:w="58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3</w:t>
            </w:r>
          </w:p>
        </w:tc>
        <w:tc>
          <w:tcPr>
            <w:tcW w:w="2608"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消火栓</w:t>
            </w:r>
          </w:p>
        </w:tc>
        <w:tc>
          <w:tcPr>
            <w:tcW w:w="1809"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267</w:t>
            </w:r>
          </w:p>
        </w:tc>
      </w:tr>
      <w:tr>
        <w:tblPrEx>
          <w:tblCellMar>
            <w:top w:w="0" w:type="dxa"/>
            <w:left w:w="108" w:type="dxa"/>
            <w:bottom w:w="0" w:type="dxa"/>
            <w:right w:w="108" w:type="dxa"/>
          </w:tblCellMar>
        </w:tblPrEx>
        <w:trPr>
          <w:trHeight w:val="400" w:hRule="atLeast"/>
          <w:jc w:val="center"/>
        </w:trPr>
        <w:tc>
          <w:tcPr>
            <w:tcW w:w="58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4</w:t>
            </w:r>
          </w:p>
        </w:tc>
        <w:tc>
          <w:tcPr>
            <w:tcW w:w="2608"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喷淋头</w:t>
            </w:r>
          </w:p>
        </w:tc>
        <w:tc>
          <w:tcPr>
            <w:tcW w:w="1809"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2025</w:t>
            </w:r>
          </w:p>
        </w:tc>
      </w:tr>
      <w:tr>
        <w:tblPrEx>
          <w:tblCellMar>
            <w:top w:w="0" w:type="dxa"/>
            <w:left w:w="108" w:type="dxa"/>
            <w:bottom w:w="0" w:type="dxa"/>
            <w:right w:w="108" w:type="dxa"/>
          </w:tblCellMar>
        </w:tblPrEx>
        <w:trPr>
          <w:trHeight w:val="400" w:hRule="atLeast"/>
          <w:jc w:val="center"/>
        </w:trPr>
        <w:tc>
          <w:tcPr>
            <w:tcW w:w="58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5</w:t>
            </w:r>
          </w:p>
        </w:tc>
        <w:tc>
          <w:tcPr>
            <w:tcW w:w="2608"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手动报警按钮</w:t>
            </w:r>
          </w:p>
        </w:tc>
        <w:tc>
          <w:tcPr>
            <w:tcW w:w="1809"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258</w:t>
            </w:r>
          </w:p>
        </w:tc>
      </w:tr>
      <w:tr>
        <w:tblPrEx>
          <w:tblCellMar>
            <w:top w:w="0" w:type="dxa"/>
            <w:left w:w="108" w:type="dxa"/>
            <w:bottom w:w="0" w:type="dxa"/>
            <w:right w:w="108" w:type="dxa"/>
          </w:tblCellMar>
        </w:tblPrEx>
        <w:trPr>
          <w:trHeight w:val="400" w:hRule="atLeast"/>
          <w:jc w:val="center"/>
        </w:trPr>
        <w:tc>
          <w:tcPr>
            <w:tcW w:w="58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6</w:t>
            </w:r>
          </w:p>
        </w:tc>
        <w:tc>
          <w:tcPr>
            <w:tcW w:w="2608"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灭火器</w:t>
            </w:r>
          </w:p>
        </w:tc>
        <w:tc>
          <w:tcPr>
            <w:tcW w:w="1809"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1601</w:t>
            </w:r>
          </w:p>
        </w:tc>
      </w:tr>
      <w:tr>
        <w:tblPrEx>
          <w:tblCellMar>
            <w:top w:w="0" w:type="dxa"/>
            <w:left w:w="108" w:type="dxa"/>
            <w:bottom w:w="0" w:type="dxa"/>
            <w:right w:w="108" w:type="dxa"/>
          </w:tblCellMar>
        </w:tblPrEx>
        <w:trPr>
          <w:trHeight w:val="400" w:hRule="atLeast"/>
          <w:jc w:val="center"/>
        </w:trPr>
        <w:tc>
          <w:tcPr>
            <w:tcW w:w="58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7</w:t>
            </w:r>
          </w:p>
        </w:tc>
        <w:tc>
          <w:tcPr>
            <w:tcW w:w="2608"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防烟面罩</w:t>
            </w:r>
          </w:p>
        </w:tc>
        <w:tc>
          <w:tcPr>
            <w:tcW w:w="1809"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410</w:t>
            </w:r>
          </w:p>
        </w:tc>
      </w:tr>
      <w:tr>
        <w:tblPrEx>
          <w:tblCellMar>
            <w:top w:w="0" w:type="dxa"/>
            <w:left w:w="108" w:type="dxa"/>
            <w:bottom w:w="0" w:type="dxa"/>
            <w:right w:w="108" w:type="dxa"/>
          </w:tblCellMar>
        </w:tblPrEx>
        <w:trPr>
          <w:trHeight w:val="400" w:hRule="atLeast"/>
          <w:jc w:val="center"/>
        </w:trPr>
        <w:tc>
          <w:tcPr>
            <w:tcW w:w="58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8</w:t>
            </w:r>
          </w:p>
        </w:tc>
        <w:tc>
          <w:tcPr>
            <w:tcW w:w="2608"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正压送风口</w:t>
            </w:r>
          </w:p>
        </w:tc>
        <w:tc>
          <w:tcPr>
            <w:tcW w:w="1809"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8</w:t>
            </w:r>
          </w:p>
        </w:tc>
      </w:tr>
      <w:tr>
        <w:tblPrEx>
          <w:tblCellMar>
            <w:top w:w="0" w:type="dxa"/>
            <w:left w:w="108" w:type="dxa"/>
            <w:bottom w:w="0" w:type="dxa"/>
            <w:right w:w="108" w:type="dxa"/>
          </w:tblCellMar>
        </w:tblPrEx>
        <w:trPr>
          <w:trHeight w:val="400" w:hRule="atLeast"/>
          <w:jc w:val="center"/>
        </w:trPr>
        <w:tc>
          <w:tcPr>
            <w:tcW w:w="58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9</w:t>
            </w:r>
          </w:p>
        </w:tc>
        <w:tc>
          <w:tcPr>
            <w:tcW w:w="2608"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消防广播模块</w:t>
            </w:r>
          </w:p>
        </w:tc>
        <w:tc>
          <w:tcPr>
            <w:tcW w:w="1809"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50</w:t>
            </w:r>
          </w:p>
        </w:tc>
      </w:tr>
      <w:tr>
        <w:tblPrEx>
          <w:tblCellMar>
            <w:top w:w="0" w:type="dxa"/>
            <w:left w:w="108" w:type="dxa"/>
            <w:bottom w:w="0" w:type="dxa"/>
            <w:right w:w="108" w:type="dxa"/>
          </w:tblCellMar>
        </w:tblPrEx>
        <w:trPr>
          <w:trHeight w:val="400" w:hRule="atLeast"/>
          <w:jc w:val="center"/>
        </w:trPr>
        <w:tc>
          <w:tcPr>
            <w:tcW w:w="58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10</w:t>
            </w:r>
          </w:p>
        </w:tc>
        <w:tc>
          <w:tcPr>
            <w:tcW w:w="2608"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声光报警</w:t>
            </w:r>
          </w:p>
        </w:tc>
        <w:tc>
          <w:tcPr>
            <w:tcW w:w="1809"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181</w:t>
            </w:r>
          </w:p>
        </w:tc>
      </w:tr>
      <w:tr>
        <w:tblPrEx>
          <w:tblCellMar>
            <w:top w:w="0" w:type="dxa"/>
            <w:left w:w="108" w:type="dxa"/>
            <w:bottom w:w="0" w:type="dxa"/>
            <w:right w:w="108" w:type="dxa"/>
          </w:tblCellMar>
        </w:tblPrEx>
        <w:trPr>
          <w:trHeight w:val="400" w:hRule="atLeast"/>
          <w:jc w:val="center"/>
        </w:trPr>
        <w:tc>
          <w:tcPr>
            <w:tcW w:w="58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11</w:t>
            </w:r>
          </w:p>
        </w:tc>
        <w:tc>
          <w:tcPr>
            <w:tcW w:w="2608"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安全灯</w:t>
            </w:r>
          </w:p>
        </w:tc>
        <w:tc>
          <w:tcPr>
            <w:tcW w:w="1809"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165</w:t>
            </w:r>
          </w:p>
        </w:tc>
      </w:tr>
      <w:tr>
        <w:tblPrEx>
          <w:tblCellMar>
            <w:top w:w="0" w:type="dxa"/>
            <w:left w:w="108" w:type="dxa"/>
            <w:bottom w:w="0" w:type="dxa"/>
            <w:right w:w="108" w:type="dxa"/>
          </w:tblCellMar>
        </w:tblPrEx>
        <w:trPr>
          <w:trHeight w:val="400" w:hRule="atLeast"/>
          <w:jc w:val="center"/>
        </w:trPr>
        <w:tc>
          <w:tcPr>
            <w:tcW w:w="58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12</w:t>
            </w:r>
          </w:p>
        </w:tc>
        <w:tc>
          <w:tcPr>
            <w:tcW w:w="2608"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疏散灯</w:t>
            </w:r>
          </w:p>
        </w:tc>
        <w:tc>
          <w:tcPr>
            <w:tcW w:w="1809"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210</w:t>
            </w:r>
          </w:p>
        </w:tc>
      </w:tr>
      <w:tr>
        <w:tblPrEx>
          <w:tblCellMar>
            <w:top w:w="0" w:type="dxa"/>
            <w:left w:w="108" w:type="dxa"/>
            <w:bottom w:w="0" w:type="dxa"/>
            <w:right w:w="108" w:type="dxa"/>
          </w:tblCellMar>
        </w:tblPrEx>
        <w:trPr>
          <w:trHeight w:val="400" w:hRule="atLeast"/>
          <w:jc w:val="center"/>
        </w:trPr>
        <w:tc>
          <w:tcPr>
            <w:tcW w:w="58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13</w:t>
            </w:r>
          </w:p>
        </w:tc>
        <w:tc>
          <w:tcPr>
            <w:tcW w:w="2608"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应急灯</w:t>
            </w:r>
          </w:p>
        </w:tc>
        <w:tc>
          <w:tcPr>
            <w:tcW w:w="1809"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185</w:t>
            </w:r>
          </w:p>
        </w:tc>
      </w:tr>
      <w:tr>
        <w:tblPrEx>
          <w:tblCellMar>
            <w:top w:w="0" w:type="dxa"/>
            <w:left w:w="108" w:type="dxa"/>
            <w:bottom w:w="0" w:type="dxa"/>
            <w:right w:w="108" w:type="dxa"/>
          </w:tblCellMar>
        </w:tblPrEx>
        <w:trPr>
          <w:trHeight w:val="400" w:hRule="atLeast"/>
          <w:jc w:val="center"/>
        </w:trPr>
        <w:tc>
          <w:tcPr>
            <w:tcW w:w="58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14</w:t>
            </w:r>
          </w:p>
        </w:tc>
        <w:tc>
          <w:tcPr>
            <w:tcW w:w="2608"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可燃气体探测器</w:t>
            </w:r>
          </w:p>
        </w:tc>
        <w:tc>
          <w:tcPr>
            <w:tcW w:w="1809"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9</w:t>
            </w:r>
          </w:p>
        </w:tc>
      </w:tr>
      <w:tr>
        <w:tblPrEx>
          <w:tblCellMar>
            <w:top w:w="0" w:type="dxa"/>
            <w:left w:w="108" w:type="dxa"/>
            <w:bottom w:w="0" w:type="dxa"/>
            <w:right w:w="108" w:type="dxa"/>
          </w:tblCellMar>
        </w:tblPrEx>
        <w:trPr>
          <w:trHeight w:val="400" w:hRule="atLeast"/>
          <w:jc w:val="center"/>
        </w:trPr>
        <w:tc>
          <w:tcPr>
            <w:tcW w:w="58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15</w:t>
            </w:r>
          </w:p>
        </w:tc>
        <w:tc>
          <w:tcPr>
            <w:tcW w:w="2608"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排烟口</w:t>
            </w:r>
          </w:p>
        </w:tc>
        <w:tc>
          <w:tcPr>
            <w:tcW w:w="1809"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77</w:t>
            </w:r>
          </w:p>
        </w:tc>
      </w:tr>
      <w:tr>
        <w:tblPrEx>
          <w:tblCellMar>
            <w:top w:w="0" w:type="dxa"/>
            <w:left w:w="108" w:type="dxa"/>
            <w:bottom w:w="0" w:type="dxa"/>
            <w:right w:w="108" w:type="dxa"/>
          </w:tblCellMar>
        </w:tblPrEx>
        <w:trPr>
          <w:trHeight w:val="400" w:hRule="atLeast"/>
          <w:jc w:val="center"/>
        </w:trPr>
        <w:tc>
          <w:tcPr>
            <w:tcW w:w="58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16</w:t>
            </w:r>
          </w:p>
        </w:tc>
        <w:tc>
          <w:tcPr>
            <w:tcW w:w="2608"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水流指示器</w:t>
            </w:r>
          </w:p>
        </w:tc>
        <w:tc>
          <w:tcPr>
            <w:tcW w:w="1809"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52</w:t>
            </w:r>
          </w:p>
        </w:tc>
      </w:tr>
      <w:tr>
        <w:tblPrEx>
          <w:tblCellMar>
            <w:top w:w="0" w:type="dxa"/>
            <w:left w:w="108" w:type="dxa"/>
            <w:bottom w:w="0" w:type="dxa"/>
            <w:right w:w="108" w:type="dxa"/>
          </w:tblCellMar>
        </w:tblPrEx>
        <w:trPr>
          <w:trHeight w:val="400" w:hRule="atLeast"/>
          <w:jc w:val="center"/>
        </w:trPr>
        <w:tc>
          <w:tcPr>
            <w:tcW w:w="58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17</w:t>
            </w:r>
          </w:p>
        </w:tc>
        <w:tc>
          <w:tcPr>
            <w:tcW w:w="2608"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防排烟</w:t>
            </w:r>
          </w:p>
        </w:tc>
        <w:tc>
          <w:tcPr>
            <w:tcW w:w="1809"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15</w:t>
            </w:r>
          </w:p>
        </w:tc>
      </w:tr>
      <w:tr>
        <w:tblPrEx>
          <w:tblCellMar>
            <w:top w:w="0" w:type="dxa"/>
            <w:left w:w="108" w:type="dxa"/>
            <w:bottom w:w="0" w:type="dxa"/>
            <w:right w:w="108" w:type="dxa"/>
          </w:tblCellMar>
        </w:tblPrEx>
        <w:trPr>
          <w:trHeight w:val="400" w:hRule="atLeast"/>
          <w:jc w:val="center"/>
        </w:trPr>
        <w:tc>
          <w:tcPr>
            <w:tcW w:w="58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18</w:t>
            </w:r>
          </w:p>
        </w:tc>
        <w:tc>
          <w:tcPr>
            <w:tcW w:w="2608"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压力开关</w:t>
            </w:r>
          </w:p>
        </w:tc>
        <w:tc>
          <w:tcPr>
            <w:tcW w:w="1809"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5</w:t>
            </w:r>
          </w:p>
        </w:tc>
      </w:tr>
      <w:tr>
        <w:tblPrEx>
          <w:tblCellMar>
            <w:top w:w="0" w:type="dxa"/>
            <w:left w:w="108" w:type="dxa"/>
            <w:bottom w:w="0" w:type="dxa"/>
            <w:right w:w="108" w:type="dxa"/>
          </w:tblCellMar>
        </w:tblPrEx>
        <w:trPr>
          <w:trHeight w:val="400" w:hRule="atLeast"/>
          <w:jc w:val="center"/>
        </w:trPr>
        <w:tc>
          <w:tcPr>
            <w:tcW w:w="58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19</w:t>
            </w:r>
          </w:p>
        </w:tc>
        <w:tc>
          <w:tcPr>
            <w:tcW w:w="2608"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气体灭火</w:t>
            </w:r>
          </w:p>
        </w:tc>
        <w:tc>
          <w:tcPr>
            <w:tcW w:w="1809"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2</w:t>
            </w:r>
          </w:p>
        </w:tc>
      </w:tr>
      <w:tr>
        <w:tblPrEx>
          <w:tblCellMar>
            <w:top w:w="0" w:type="dxa"/>
            <w:left w:w="108" w:type="dxa"/>
            <w:bottom w:w="0" w:type="dxa"/>
            <w:right w:w="108" w:type="dxa"/>
          </w:tblCellMar>
        </w:tblPrEx>
        <w:trPr>
          <w:trHeight w:val="400" w:hRule="atLeast"/>
          <w:jc w:val="center"/>
        </w:trPr>
        <w:tc>
          <w:tcPr>
            <w:tcW w:w="58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20</w:t>
            </w:r>
          </w:p>
        </w:tc>
        <w:tc>
          <w:tcPr>
            <w:tcW w:w="2608"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信号阀</w:t>
            </w:r>
          </w:p>
        </w:tc>
        <w:tc>
          <w:tcPr>
            <w:tcW w:w="1809"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50</w:t>
            </w:r>
          </w:p>
        </w:tc>
      </w:tr>
      <w:tr>
        <w:tblPrEx>
          <w:tblCellMar>
            <w:top w:w="0" w:type="dxa"/>
            <w:left w:w="108" w:type="dxa"/>
            <w:bottom w:w="0" w:type="dxa"/>
            <w:right w:w="108" w:type="dxa"/>
          </w:tblCellMar>
        </w:tblPrEx>
        <w:trPr>
          <w:trHeight w:val="400" w:hRule="atLeast"/>
          <w:jc w:val="center"/>
        </w:trPr>
        <w:tc>
          <w:tcPr>
            <w:tcW w:w="58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21</w:t>
            </w:r>
          </w:p>
        </w:tc>
        <w:tc>
          <w:tcPr>
            <w:tcW w:w="2608"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70阀</w:t>
            </w:r>
          </w:p>
        </w:tc>
        <w:tc>
          <w:tcPr>
            <w:tcW w:w="1809"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67</w:t>
            </w:r>
          </w:p>
        </w:tc>
      </w:tr>
      <w:tr>
        <w:tblPrEx>
          <w:tblCellMar>
            <w:top w:w="0" w:type="dxa"/>
            <w:left w:w="108" w:type="dxa"/>
            <w:bottom w:w="0" w:type="dxa"/>
            <w:right w:w="108" w:type="dxa"/>
          </w:tblCellMar>
        </w:tblPrEx>
        <w:trPr>
          <w:trHeight w:val="400" w:hRule="atLeast"/>
          <w:jc w:val="center"/>
        </w:trPr>
        <w:tc>
          <w:tcPr>
            <w:tcW w:w="58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22</w:t>
            </w:r>
          </w:p>
        </w:tc>
        <w:tc>
          <w:tcPr>
            <w:tcW w:w="2608"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280阀</w:t>
            </w:r>
          </w:p>
        </w:tc>
        <w:tc>
          <w:tcPr>
            <w:tcW w:w="1809"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33</w:t>
            </w:r>
          </w:p>
        </w:tc>
      </w:tr>
      <w:tr>
        <w:tblPrEx>
          <w:tblCellMar>
            <w:top w:w="0" w:type="dxa"/>
            <w:left w:w="108" w:type="dxa"/>
            <w:bottom w:w="0" w:type="dxa"/>
            <w:right w:w="108" w:type="dxa"/>
          </w:tblCellMar>
        </w:tblPrEx>
        <w:trPr>
          <w:trHeight w:val="400" w:hRule="atLeast"/>
          <w:jc w:val="center"/>
        </w:trPr>
        <w:tc>
          <w:tcPr>
            <w:tcW w:w="58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23</w:t>
            </w:r>
          </w:p>
        </w:tc>
        <w:tc>
          <w:tcPr>
            <w:tcW w:w="2608"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室外消火栓</w:t>
            </w:r>
          </w:p>
        </w:tc>
        <w:tc>
          <w:tcPr>
            <w:tcW w:w="1809"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8</w:t>
            </w:r>
          </w:p>
        </w:tc>
      </w:tr>
      <w:tr>
        <w:tblPrEx>
          <w:tblCellMar>
            <w:top w:w="0" w:type="dxa"/>
            <w:left w:w="108" w:type="dxa"/>
            <w:bottom w:w="0" w:type="dxa"/>
            <w:right w:w="108" w:type="dxa"/>
          </w:tblCellMar>
        </w:tblPrEx>
        <w:trPr>
          <w:trHeight w:val="400" w:hRule="atLeast"/>
          <w:jc w:val="center"/>
        </w:trPr>
        <w:tc>
          <w:tcPr>
            <w:tcW w:w="58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24</w:t>
            </w:r>
          </w:p>
        </w:tc>
        <w:tc>
          <w:tcPr>
            <w:tcW w:w="2608"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消防泵</w:t>
            </w:r>
          </w:p>
        </w:tc>
        <w:tc>
          <w:tcPr>
            <w:tcW w:w="1809"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6</w:t>
            </w:r>
          </w:p>
        </w:tc>
      </w:tr>
      <w:tr>
        <w:tblPrEx>
          <w:tblCellMar>
            <w:top w:w="0" w:type="dxa"/>
            <w:left w:w="108" w:type="dxa"/>
            <w:bottom w:w="0" w:type="dxa"/>
            <w:right w:w="108" w:type="dxa"/>
          </w:tblCellMar>
        </w:tblPrEx>
        <w:trPr>
          <w:trHeight w:val="400" w:hRule="atLeast"/>
          <w:jc w:val="center"/>
        </w:trPr>
        <w:tc>
          <w:tcPr>
            <w:tcW w:w="58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25</w:t>
            </w:r>
          </w:p>
        </w:tc>
        <w:tc>
          <w:tcPr>
            <w:tcW w:w="2608"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消防主机</w:t>
            </w:r>
          </w:p>
        </w:tc>
        <w:tc>
          <w:tcPr>
            <w:tcW w:w="1809"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3</w:t>
            </w:r>
          </w:p>
        </w:tc>
      </w:tr>
      <w:tr>
        <w:tblPrEx>
          <w:tblCellMar>
            <w:top w:w="0" w:type="dxa"/>
            <w:left w:w="108" w:type="dxa"/>
            <w:bottom w:w="0" w:type="dxa"/>
            <w:right w:w="108" w:type="dxa"/>
          </w:tblCellMar>
        </w:tblPrEx>
        <w:trPr>
          <w:trHeight w:val="400" w:hRule="atLeast"/>
          <w:jc w:val="center"/>
        </w:trPr>
        <w:tc>
          <w:tcPr>
            <w:tcW w:w="58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26</w:t>
            </w:r>
          </w:p>
        </w:tc>
        <w:tc>
          <w:tcPr>
            <w:tcW w:w="2608"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气体灭火主机</w:t>
            </w:r>
          </w:p>
        </w:tc>
        <w:tc>
          <w:tcPr>
            <w:tcW w:w="1809"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2</w:t>
            </w:r>
          </w:p>
        </w:tc>
      </w:tr>
      <w:tr>
        <w:tblPrEx>
          <w:tblCellMar>
            <w:top w:w="0" w:type="dxa"/>
            <w:left w:w="108" w:type="dxa"/>
            <w:bottom w:w="0" w:type="dxa"/>
            <w:right w:w="108" w:type="dxa"/>
          </w:tblCellMar>
        </w:tblPrEx>
        <w:trPr>
          <w:trHeight w:val="400" w:hRule="atLeast"/>
          <w:jc w:val="center"/>
        </w:trPr>
        <w:tc>
          <w:tcPr>
            <w:tcW w:w="58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27</w:t>
            </w:r>
          </w:p>
        </w:tc>
        <w:tc>
          <w:tcPr>
            <w:tcW w:w="2608"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应急照明主机</w:t>
            </w:r>
          </w:p>
        </w:tc>
        <w:tc>
          <w:tcPr>
            <w:tcW w:w="1809"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2</w:t>
            </w:r>
          </w:p>
        </w:tc>
      </w:tr>
      <w:tr>
        <w:tblPrEx>
          <w:tblCellMar>
            <w:top w:w="0" w:type="dxa"/>
            <w:left w:w="108" w:type="dxa"/>
            <w:bottom w:w="0" w:type="dxa"/>
            <w:right w:w="108" w:type="dxa"/>
          </w:tblCellMar>
        </w:tblPrEx>
        <w:trPr>
          <w:trHeight w:val="400" w:hRule="atLeast"/>
          <w:jc w:val="center"/>
        </w:trPr>
        <w:tc>
          <w:tcPr>
            <w:tcW w:w="58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28</w:t>
            </w:r>
          </w:p>
        </w:tc>
        <w:tc>
          <w:tcPr>
            <w:tcW w:w="2608"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防火门</w:t>
            </w:r>
          </w:p>
        </w:tc>
        <w:tc>
          <w:tcPr>
            <w:tcW w:w="1809"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contextualSpacing/>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191</w:t>
            </w:r>
          </w:p>
        </w:tc>
      </w:tr>
    </w:tbl>
    <w:p>
      <w:pPr>
        <w:pStyle w:val="2"/>
        <w:spacing w:before="0" w:line="360" w:lineRule="auto"/>
        <w:contextualSpacing/>
        <w:rPr>
          <w:rFonts w:ascii="仿宋" w:hAnsi="仿宋" w:eastAsia="仿宋"/>
        </w:rPr>
      </w:pPr>
      <w:r>
        <w:rPr>
          <w:rFonts w:hint="eastAsia" w:ascii="仿宋" w:hAnsi="仿宋" w:eastAsia="仿宋"/>
          <w:b/>
          <w:bCs/>
        </w:rPr>
        <w:t>说明：包含但不限于上表中设施设备维保服务，维保合同有效期内出现的新增设施设备保修均包含在此次服务期间维保范围内。</w:t>
      </w:r>
    </w:p>
    <w:p>
      <w:pPr>
        <w:spacing w:line="360" w:lineRule="auto"/>
        <w:contextualSpacing/>
        <w:outlineLvl w:val="2"/>
        <w:rPr>
          <w:rFonts w:ascii="仿宋" w:hAnsi="仿宋" w:eastAsia="仿宋"/>
          <w:b/>
          <w:bCs/>
          <w:sz w:val="24"/>
        </w:rPr>
      </w:pPr>
      <w:r>
        <w:rPr>
          <w:rFonts w:hint="eastAsia" w:ascii="仿宋" w:hAnsi="仿宋" w:eastAsia="仿宋"/>
          <w:b/>
          <w:bCs/>
          <w:sz w:val="24"/>
        </w:rPr>
        <w:t>三、服务要求</w:t>
      </w:r>
    </w:p>
    <w:p>
      <w:pPr>
        <w:spacing w:line="360" w:lineRule="auto"/>
        <w:contextualSpacing/>
        <w:rPr>
          <w:rFonts w:ascii="仿宋" w:hAnsi="仿宋" w:eastAsia="仿宋" w:cs="宋体"/>
          <w:sz w:val="24"/>
        </w:rPr>
      </w:pPr>
      <w:r>
        <w:rPr>
          <w:rFonts w:hint="eastAsia" w:ascii="仿宋" w:hAnsi="仿宋" w:eastAsia="仿宋" w:cs="宋体"/>
          <w:sz w:val="24"/>
        </w:rPr>
        <w:t>1.相关服务满足国家、北京市及相关规定；</w:t>
      </w:r>
    </w:p>
    <w:p>
      <w:pPr>
        <w:spacing w:line="360" w:lineRule="auto"/>
        <w:contextualSpacing/>
        <w:rPr>
          <w:rFonts w:ascii="仿宋" w:hAnsi="仿宋" w:eastAsia="仿宋" w:cs="宋体"/>
          <w:sz w:val="24"/>
        </w:rPr>
      </w:pPr>
      <w:r>
        <w:rPr>
          <w:rFonts w:hint="eastAsia" w:ascii="仿宋" w:hAnsi="仿宋" w:eastAsia="仿宋" w:cs="宋体"/>
          <w:sz w:val="24"/>
        </w:rPr>
        <w:t>2.服务范围：</w:t>
      </w:r>
    </w:p>
    <w:p>
      <w:pPr>
        <w:spacing w:line="360" w:lineRule="auto"/>
        <w:contextualSpacing/>
        <w:rPr>
          <w:rFonts w:ascii="仿宋" w:hAnsi="仿宋" w:eastAsia="仿宋" w:cs="宋体"/>
          <w:sz w:val="24"/>
        </w:rPr>
      </w:pPr>
      <w:r>
        <w:rPr>
          <w:rFonts w:hint="eastAsia" w:ascii="仿宋" w:hAnsi="仿宋" w:eastAsia="仿宋"/>
          <w:sz w:val="24"/>
        </w:rPr>
        <w:t>首都儿科研究所附属儿童医院</w:t>
      </w:r>
      <w:r>
        <w:rPr>
          <w:rFonts w:hint="eastAsia" w:ascii="仿宋" w:hAnsi="仿宋" w:eastAsia="仿宋" w:cs="宋体"/>
          <w:sz w:val="24"/>
        </w:rPr>
        <w:t>消防维保服务,包括</w:t>
      </w:r>
      <w:r>
        <w:rPr>
          <w:rFonts w:hint="eastAsia" w:ascii="仿宋" w:hAnsi="仿宋" w:eastAsia="仿宋" w:cs="宋体"/>
          <w:sz w:val="24"/>
        </w:rPr>
        <w:sym w:font="Wingdings 2" w:char="0052"/>
      </w:r>
      <w:r>
        <w:rPr>
          <w:rFonts w:hint="eastAsia" w:ascii="仿宋" w:hAnsi="仿宋" w:eastAsia="仿宋" w:cs="宋体"/>
          <w:sz w:val="24"/>
        </w:rPr>
        <w:t>消防设施设备</w:t>
      </w:r>
      <w:r>
        <w:rPr>
          <w:rFonts w:hint="eastAsia" w:ascii="仿宋" w:hAnsi="仿宋" w:eastAsia="仿宋" w:cs="宋体"/>
          <w:sz w:val="24"/>
        </w:rPr>
        <w:sym w:font="Wingdings 2" w:char="0052"/>
      </w:r>
      <w:r>
        <w:rPr>
          <w:rFonts w:hint="eastAsia" w:ascii="仿宋" w:hAnsi="仿宋" w:eastAsia="仿宋" w:cs="宋体"/>
          <w:sz w:val="24"/>
        </w:rPr>
        <w:t>消防供配电设施（消防电控信号部分）；</w:t>
      </w:r>
      <w:r>
        <w:rPr>
          <w:rFonts w:hint="eastAsia" w:ascii="仿宋" w:hAnsi="仿宋" w:eastAsia="仿宋" w:cs="宋体"/>
          <w:sz w:val="24"/>
        </w:rPr>
        <w:sym w:font="Wingdings 2" w:char="0052"/>
      </w:r>
      <w:r>
        <w:rPr>
          <w:rFonts w:hint="eastAsia" w:ascii="仿宋" w:hAnsi="仿宋" w:eastAsia="仿宋" w:cs="宋体"/>
          <w:sz w:val="24"/>
        </w:rPr>
        <w:t>火灾自动报警系统；</w:t>
      </w:r>
      <w:r>
        <w:rPr>
          <w:rFonts w:hint="eastAsia" w:ascii="仿宋" w:hAnsi="仿宋" w:eastAsia="仿宋" w:cs="宋体"/>
          <w:sz w:val="24"/>
        </w:rPr>
        <w:sym w:font="Wingdings 2" w:char="0052"/>
      </w:r>
      <w:r>
        <w:rPr>
          <w:rFonts w:hint="eastAsia" w:ascii="仿宋" w:hAnsi="仿宋" w:eastAsia="仿宋" w:cs="宋体"/>
          <w:sz w:val="24"/>
        </w:rPr>
        <w:t>消防给水及消火栓系统；</w:t>
      </w:r>
      <w:r>
        <w:rPr>
          <w:rFonts w:hint="eastAsia" w:ascii="仿宋" w:hAnsi="仿宋" w:eastAsia="仿宋" w:cs="宋体"/>
          <w:sz w:val="24"/>
        </w:rPr>
        <w:sym w:font="Wingdings 2" w:char="0052"/>
      </w:r>
      <w:r>
        <w:rPr>
          <w:rFonts w:hint="eastAsia" w:ascii="仿宋" w:hAnsi="仿宋" w:eastAsia="仿宋" w:cs="宋体"/>
          <w:sz w:val="24"/>
        </w:rPr>
        <w:t>自动喷水灭火系统；</w:t>
      </w:r>
      <w:r>
        <w:rPr>
          <w:rFonts w:hint="eastAsia" w:ascii="仿宋" w:hAnsi="仿宋" w:eastAsia="仿宋" w:cs="宋体"/>
          <w:sz w:val="24"/>
        </w:rPr>
        <w:sym w:font="Wingdings 2" w:char="0052"/>
      </w:r>
      <w:r>
        <w:rPr>
          <w:rFonts w:hint="eastAsia" w:ascii="仿宋" w:hAnsi="仿宋" w:eastAsia="仿宋" w:cs="宋体"/>
          <w:sz w:val="24"/>
        </w:rPr>
        <w:t>固定消防炮灭火系统；</w:t>
      </w:r>
      <w:r>
        <w:rPr>
          <w:rFonts w:hint="eastAsia" w:ascii="仿宋" w:hAnsi="仿宋" w:eastAsia="仿宋" w:cs="宋体"/>
          <w:sz w:val="24"/>
        </w:rPr>
        <w:sym w:font="Wingdings 2" w:char="0052"/>
      </w:r>
      <w:r>
        <w:rPr>
          <w:rFonts w:hint="eastAsia" w:ascii="仿宋" w:hAnsi="仿宋" w:eastAsia="仿宋" w:cs="宋体"/>
          <w:sz w:val="24"/>
        </w:rPr>
        <w:t>气体灭火系统（检查保养）；</w:t>
      </w:r>
      <w:r>
        <w:rPr>
          <w:rFonts w:hint="eastAsia" w:ascii="仿宋" w:hAnsi="仿宋" w:eastAsia="仿宋" w:cs="宋体"/>
          <w:sz w:val="24"/>
        </w:rPr>
        <w:sym w:font="Wingdings 2" w:char="0052"/>
      </w:r>
      <w:r>
        <w:rPr>
          <w:rFonts w:hint="eastAsia" w:ascii="仿宋" w:hAnsi="仿宋" w:eastAsia="仿宋" w:cs="宋体"/>
          <w:sz w:val="24"/>
        </w:rPr>
        <w:t>防烟排烟系统；</w:t>
      </w:r>
      <w:r>
        <w:rPr>
          <w:rFonts w:hint="eastAsia" w:ascii="仿宋" w:hAnsi="仿宋" w:eastAsia="仿宋" w:cs="宋体"/>
          <w:sz w:val="24"/>
        </w:rPr>
        <w:sym w:font="Wingdings 2" w:char="0052"/>
      </w:r>
      <w:r>
        <w:rPr>
          <w:rFonts w:hint="eastAsia" w:ascii="仿宋" w:hAnsi="仿宋" w:eastAsia="仿宋" w:cs="宋体"/>
          <w:sz w:val="24"/>
        </w:rPr>
        <w:t>消防应急照明和疏散指示标志；</w:t>
      </w:r>
      <w:r>
        <w:rPr>
          <w:rFonts w:hint="eastAsia" w:ascii="仿宋" w:hAnsi="仿宋" w:eastAsia="仿宋" w:cs="宋体"/>
          <w:sz w:val="24"/>
        </w:rPr>
        <w:sym w:font="Wingdings 2" w:char="0052"/>
      </w:r>
      <w:r>
        <w:rPr>
          <w:rFonts w:hint="eastAsia" w:ascii="仿宋" w:hAnsi="仿宋" w:eastAsia="仿宋" w:cs="宋体"/>
          <w:sz w:val="24"/>
        </w:rPr>
        <w:t>消防应急广播系统；</w:t>
      </w:r>
      <w:r>
        <w:rPr>
          <w:rFonts w:hint="eastAsia" w:ascii="仿宋" w:hAnsi="仿宋" w:eastAsia="仿宋" w:cs="宋体"/>
          <w:sz w:val="24"/>
        </w:rPr>
        <w:sym w:font="Wingdings 2" w:char="0052"/>
      </w:r>
      <w:r>
        <w:rPr>
          <w:rFonts w:hint="eastAsia" w:ascii="仿宋" w:hAnsi="仿宋" w:eastAsia="仿宋" w:cs="宋体"/>
          <w:sz w:val="24"/>
        </w:rPr>
        <w:t>消防专用电话系统；</w:t>
      </w:r>
      <w:r>
        <w:rPr>
          <w:rFonts w:hint="eastAsia" w:ascii="仿宋" w:hAnsi="仿宋" w:eastAsia="仿宋" w:cs="宋体"/>
          <w:sz w:val="24"/>
        </w:rPr>
        <w:sym w:font="Wingdings 2" w:char="0052"/>
      </w:r>
      <w:r>
        <w:rPr>
          <w:rFonts w:hint="eastAsia" w:ascii="仿宋" w:hAnsi="仿宋" w:eastAsia="仿宋" w:cs="宋体"/>
          <w:sz w:val="24"/>
        </w:rPr>
        <w:t>防火分隔设施（防火门、闭门器、顺位器、消防电控信号等）；</w:t>
      </w:r>
      <w:r>
        <w:rPr>
          <w:rFonts w:hint="eastAsia" w:ascii="仿宋" w:hAnsi="仿宋" w:eastAsia="仿宋" w:cs="宋体"/>
          <w:sz w:val="24"/>
        </w:rPr>
        <w:sym w:font="Wingdings 2" w:char="0052"/>
      </w:r>
      <w:r>
        <w:rPr>
          <w:rFonts w:hint="eastAsia" w:ascii="仿宋" w:hAnsi="仿宋" w:eastAsia="仿宋" w:cs="宋体"/>
          <w:sz w:val="24"/>
        </w:rPr>
        <w:t>消防电梯（电控信号）；</w:t>
      </w:r>
      <w:r>
        <w:rPr>
          <w:rFonts w:hint="eastAsia" w:ascii="仿宋" w:hAnsi="仿宋" w:eastAsia="仿宋" w:cs="宋体"/>
          <w:sz w:val="24"/>
        </w:rPr>
        <w:sym w:font="Wingdings 2" w:char="0052"/>
      </w:r>
      <w:r>
        <w:rPr>
          <w:rFonts w:hint="eastAsia" w:ascii="仿宋" w:hAnsi="仿宋" w:eastAsia="仿宋" w:cs="宋体"/>
          <w:sz w:val="24"/>
        </w:rPr>
        <w:t>可燃气体探测报警系统；</w:t>
      </w:r>
      <w:r>
        <w:rPr>
          <w:rFonts w:hint="eastAsia" w:ascii="仿宋" w:hAnsi="仿宋" w:eastAsia="仿宋" w:cs="宋体"/>
          <w:sz w:val="24"/>
        </w:rPr>
        <w:sym w:font="Wingdings 2" w:char="0052"/>
      </w:r>
      <w:r>
        <w:rPr>
          <w:rFonts w:hint="eastAsia" w:ascii="仿宋" w:hAnsi="仿宋" w:eastAsia="仿宋" w:cs="宋体"/>
          <w:sz w:val="24"/>
        </w:rPr>
        <w:t>电气火灾监控系统；</w:t>
      </w:r>
      <w:r>
        <w:rPr>
          <w:rFonts w:hint="eastAsia" w:ascii="仿宋" w:hAnsi="仿宋" w:eastAsia="仿宋" w:cs="宋体"/>
          <w:sz w:val="24"/>
        </w:rPr>
        <w:sym w:font="Wingdings 2" w:char="0052"/>
      </w:r>
      <w:r>
        <w:rPr>
          <w:rFonts w:hint="eastAsia" w:ascii="仿宋" w:hAnsi="仿宋" w:eastAsia="仿宋" w:cs="宋体"/>
          <w:sz w:val="24"/>
        </w:rPr>
        <w:t>消防设备电源监控系统等消防设施设备的维护保养。</w:t>
      </w:r>
    </w:p>
    <w:p>
      <w:pPr>
        <w:spacing w:line="360" w:lineRule="auto"/>
        <w:contextualSpacing/>
        <w:rPr>
          <w:rFonts w:ascii="仿宋" w:hAnsi="仿宋" w:eastAsia="仿宋" w:cs="宋体"/>
          <w:sz w:val="24"/>
        </w:rPr>
      </w:pPr>
      <w:r>
        <w:rPr>
          <w:rFonts w:hint="eastAsia" w:ascii="仿宋" w:hAnsi="仿宋" w:eastAsia="仿宋" w:cs="宋体"/>
          <w:sz w:val="24"/>
        </w:rPr>
        <w:t>3.服务方式及人员要求</w:t>
      </w:r>
    </w:p>
    <w:p>
      <w:pPr>
        <w:spacing w:line="360" w:lineRule="auto"/>
        <w:contextualSpacing/>
        <w:rPr>
          <w:rFonts w:ascii="仿宋" w:hAnsi="仿宋" w:eastAsia="仿宋" w:cs="宋体"/>
          <w:sz w:val="24"/>
        </w:rPr>
      </w:pPr>
      <w:r>
        <w:rPr>
          <w:rFonts w:hint="eastAsia" w:ascii="仿宋" w:hAnsi="仿宋" w:eastAsia="仿宋" w:cs="宋体"/>
          <w:sz w:val="24"/>
        </w:rPr>
        <w:t>3.1服务方式：采取驻场维护保养方式，全年全天驻场2人保障（节假日除外），节假日遇有突发情况，应急维修人员接到故障报修通知后，30分钟到达现场。</w:t>
      </w:r>
    </w:p>
    <w:p>
      <w:pPr>
        <w:spacing w:line="360" w:lineRule="auto"/>
        <w:contextualSpacing/>
        <w:rPr>
          <w:rFonts w:ascii="仿宋" w:hAnsi="仿宋" w:eastAsia="仿宋" w:cs="宋体"/>
          <w:sz w:val="24"/>
        </w:rPr>
      </w:pPr>
      <w:r>
        <w:rPr>
          <w:rFonts w:hint="eastAsia" w:ascii="仿宋" w:hAnsi="仿宋" w:eastAsia="仿宋" w:cs="宋体"/>
          <w:sz w:val="24"/>
        </w:rPr>
        <w:t>3.2人员要求：必须配备6人以上的消防维保服务团队，要求每周额外安排2-3人完成一定量的抽检工作。</w:t>
      </w:r>
    </w:p>
    <w:p>
      <w:pPr>
        <w:spacing w:line="360" w:lineRule="auto"/>
        <w:contextualSpacing/>
        <w:rPr>
          <w:rFonts w:ascii="仿宋" w:hAnsi="仿宋" w:eastAsia="仿宋" w:cs="宋体"/>
          <w:sz w:val="24"/>
        </w:rPr>
      </w:pPr>
      <w:r>
        <w:rPr>
          <w:rFonts w:hint="eastAsia" w:ascii="仿宋" w:hAnsi="仿宋" w:eastAsia="仿宋" w:cs="宋体"/>
          <w:sz w:val="24"/>
        </w:rPr>
        <w:t>3.3项目总负责人具备有效的注册消防工程师资质，有过担任政府机关单位或大型医院类消防维保项目负责人的经验；驻场负责人具备有效的注册消防工程师资质，驻场人员需要熟练掌握水电维修抢修工作，维保团队需要最少2人持有中级消防设施操作员证书。</w:t>
      </w:r>
    </w:p>
    <w:p>
      <w:pPr>
        <w:spacing w:line="360" w:lineRule="auto"/>
        <w:contextualSpacing/>
        <w:rPr>
          <w:rFonts w:ascii="仿宋" w:hAnsi="仿宋" w:eastAsia="仿宋"/>
          <w:b/>
          <w:sz w:val="24"/>
        </w:rPr>
      </w:pPr>
      <w:r>
        <w:rPr>
          <w:rFonts w:hint="eastAsia" w:ascii="仿宋" w:hAnsi="仿宋" w:eastAsia="仿宋" w:cs="宋体"/>
          <w:b/>
          <w:sz w:val="24"/>
        </w:rPr>
        <w:t>注：采购方不提供餐饮及住宿服务。</w:t>
      </w:r>
    </w:p>
    <w:p>
      <w:pPr>
        <w:spacing w:line="360" w:lineRule="auto"/>
        <w:contextualSpacing/>
        <w:rPr>
          <w:rFonts w:ascii="仿宋" w:hAnsi="仿宋" w:eastAsia="仿宋" w:cs="宋体"/>
          <w:sz w:val="24"/>
        </w:rPr>
      </w:pPr>
      <w:r>
        <w:rPr>
          <w:rFonts w:hint="eastAsia" w:ascii="仿宋" w:hAnsi="仿宋" w:eastAsia="仿宋" w:cs="宋体"/>
          <w:sz w:val="24"/>
        </w:rPr>
        <w:t>4.现场维修更换的消防产品要符合国家规定，消防换件物资质保期应符合国家有关标准规范最新要求，其他质保期至少为1年。</w:t>
      </w:r>
    </w:p>
    <w:p>
      <w:pPr>
        <w:spacing w:line="360" w:lineRule="auto"/>
        <w:contextualSpacing/>
        <w:outlineLvl w:val="2"/>
        <w:rPr>
          <w:rFonts w:ascii="仿宋" w:hAnsi="仿宋" w:eastAsia="仿宋"/>
          <w:b/>
          <w:bCs/>
          <w:sz w:val="24"/>
        </w:rPr>
      </w:pPr>
      <w:r>
        <w:rPr>
          <w:rFonts w:hint="eastAsia" w:ascii="仿宋" w:hAnsi="仿宋" w:eastAsia="仿宋"/>
          <w:b/>
          <w:bCs/>
          <w:sz w:val="24"/>
        </w:rPr>
        <w:t>四、报价要求</w:t>
      </w:r>
    </w:p>
    <w:p>
      <w:pPr>
        <w:spacing w:line="360" w:lineRule="auto"/>
        <w:contextualSpacing/>
        <w:rPr>
          <w:rFonts w:ascii="仿宋" w:hAnsi="仿宋" w:eastAsia="仿宋" w:cs="宋体"/>
          <w:sz w:val="24"/>
        </w:rPr>
      </w:pPr>
      <w:r>
        <w:rPr>
          <w:rFonts w:hint="eastAsia" w:ascii="仿宋" w:hAnsi="仿宋" w:eastAsia="仿宋" w:cs="宋体"/>
          <w:sz w:val="24"/>
        </w:rPr>
        <w:t>投标人需提供报价，作为合同签订价格，报价表中投标报价为含税价格。</w:t>
      </w:r>
    </w:p>
    <w:p>
      <w:pPr>
        <w:spacing w:line="360" w:lineRule="auto"/>
        <w:contextualSpacing/>
        <w:outlineLvl w:val="2"/>
        <w:rPr>
          <w:rFonts w:ascii="仿宋" w:hAnsi="仿宋" w:eastAsia="仿宋"/>
          <w:b/>
          <w:bCs/>
          <w:sz w:val="24"/>
        </w:rPr>
      </w:pPr>
      <w:r>
        <w:rPr>
          <w:rFonts w:hint="eastAsia" w:ascii="仿宋" w:hAnsi="仿宋" w:eastAsia="仿宋"/>
          <w:b/>
          <w:bCs/>
          <w:sz w:val="24"/>
        </w:rPr>
        <w:t>五、其他要求</w:t>
      </w:r>
    </w:p>
    <w:p>
      <w:pPr>
        <w:spacing w:line="360" w:lineRule="auto"/>
        <w:contextualSpacing/>
        <w:rPr>
          <w:rFonts w:ascii="仿宋" w:hAnsi="仿宋" w:eastAsia="仿宋" w:cs="宋体"/>
          <w:sz w:val="24"/>
        </w:rPr>
      </w:pPr>
      <w:r>
        <w:rPr>
          <w:rFonts w:hint="eastAsia" w:ascii="仿宋" w:hAnsi="仿宋" w:eastAsia="仿宋" w:cs="宋体"/>
          <w:sz w:val="24"/>
        </w:rPr>
        <w:t>1.协助采购人完成与提供服务有关的问题整改；</w:t>
      </w:r>
    </w:p>
    <w:p>
      <w:pPr>
        <w:spacing w:line="360" w:lineRule="auto"/>
        <w:contextualSpacing/>
        <w:rPr>
          <w:rFonts w:ascii="仿宋" w:hAnsi="仿宋" w:eastAsia="仿宋" w:cs="宋体"/>
          <w:sz w:val="24"/>
        </w:rPr>
      </w:pPr>
      <w:r>
        <w:rPr>
          <w:rFonts w:hint="eastAsia" w:ascii="仿宋" w:hAnsi="仿宋" w:eastAsia="仿宋" w:cs="宋体"/>
          <w:sz w:val="24"/>
        </w:rPr>
        <w:t>2.能够为采购人提供长期的咨询帮助。</w:t>
      </w:r>
    </w:p>
    <w:p>
      <w:pPr>
        <w:pStyle w:val="2"/>
        <w:spacing w:before="0" w:line="360" w:lineRule="auto"/>
        <w:contextualSpacing/>
        <w:rPr>
          <w:rFonts w:ascii="仿宋" w:hAnsi="仿宋" w:eastAsia="仿宋"/>
        </w:rPr>
      </w:pPr>
      <w:r>
        <w:rPr>
          <w:rFonts w:hint="eastAsia" w:ascii="仿宋" w:hAnsi="仿宋" w:eastAsia="仿宋" w:cs="宋体"/>
        </w:rPr>
        <w:t>3.每月消防设施巡检比例不低于30%，每季度至少完成1次全部设备检测。</w:t>
      </w:r>
    </w:p>
    <w:p>
      <w:pPr>
        <w:spacing w:line="360" w:lineRule="auto"/>
        <w:contextualSpacing/>
        <w:outlineLvl w:val="2"/>
        <w:rPr>
          <w:rFonts w:ascii="仿宋" w:hAnsi="仿宋" w:eastAsia="仿宋"/>
          <w:b/>
          <w:bCs/>
          <w:sz w:val="24"/>
        </w:rPr>
      </w:pPr>
      <w:r>
        <w:rPr>
          <w:rFonts w:hint="eastAsia" w:ascii="仿宋" w:hAnsi="仿宋" w:eastAsia="仿宋"/>
          <w:b/>
          <w:bCs/>
          <w:sz w:val="24"/>
        </w:rPr>
        <w:t>六、维护保养要求</w:t>
      </w:r>
    </w:p>
    <w:bookmarkEnd w:id="6"/>
    <w:bookmarkEnd w:id="7"/>
    <w:bookmarkEnd w:id="8"/>
    <w:bookmarkEnd w:id="9"/>
    <w:bookmarkEnd w:id="10"/>
    <w:bookmarkEnd w:id="11"/>
    <w:p>
      <w:pPr>
        <w:spacing w:line="360" w:lineRule="auto"/>
        <w:contextualSpacing/>
        <w:rPr>
          <w:rFonts w:ascii="仿宋" w:hAnsi="仿宋" w:eastAsia="仿宋" w:cs="宋体"/>
          <w:sz w:val="24"/>
        </w:rPr>
      </w:pPr>
      <w:r>
        <w:rPr>
          <w:rFonts w:hint="eastAsia" w:ascii="仿宋" w:hAnsi="仿宋" w:eastAsia="仿宋" w:cs="宋体"/>
          <w:sz w:val="24"/>
        </w:rPr>
        <w:t>1.日常维护要求</w:t>
      </w:r>
    </w:p>
    <w:p>
      <w:pPr>
        <w:spacing w:line="360" w:lineRule="auto"/>
        <w:ind w:firstLine="480" w:firstLineChars="200"/>
        <w:contextualSpacing/>
        <w:rPr>
          <w:rFonts w:ascii="仿宋" w:hAnsi="仿宋" w:eastAsia="仿宋" w:cs="宋体"/>
          <w:sz w:val="24"/>
        </w:rPr>
      </w:pPr>
      <w:r>
        <w:rPr>
          <w:rFonts w:hint="eastAsia" w:ascii="仿宋" w:hAnsi="仿宋" w:eastAsia="仿宋" w:cs="宋体"/>
          <w:sz w:val="24"/>
        </w:rPr>
        <w:t>中标单位应按照《建筑消防设施维护保养技术规范》（DB11T3035-2023），按时、保质、保量地完成消防设施维护保养服务。重要节假日、重大活动、恶劣气候等时期应根据消防设施使用情况或者消防主管部门指令增加消防设施维护保养的频次。定期维护保养服务，应当遵守下列规定：</w:t>
      </w:r>
    </w:p>
    <w:p>
      <w:pPr>
        <w:spacing w:line="360" w:lineRule="auto"/>
        <w:ind w:firstLine="444"/>
        <w:contextualSpacing/>
        <w:rPr>
          <w:rFonts w:ascii="仿宋" w:hAnsi="仿宋" w:eastAsia="仿宋" w:cs="宋体"/>
          <w:sz w:val="24"/>
        </w:rPr>
      </w:pPr>
      <w:r>
        <w:rPr>
          <w:rFonts w:hint="eastAsia" w:ascii="仿宋" w:hAnsi="仿宋" w:eastAsia="仿宋" w:cs="宋体"/>
          <w:sz w:val="24"/>
        </w:rPr>
        <w:t>a）应当对消防设施组件的外观和工作状态进行检查，对存在破损、变形、锈蚀、渗漏等情况的， 及时采取修理、更换、除锈等措施恢复正常；</w:t>
      </w:r>
    </w:p>
    <w:p>
      <w:pPr>
        <w:spacing w:line="360" w:lineRule="auto"/>
        <w:ind w:firstLine="444"/>
        <w:contextualSpacing/>
        <w:rPr>
          <w:rFonts w:ascii="仿宋" w:hAnsi="仿宋" w:eastAsia="仿宋" w:cs="宋体"/>
          <w:sz w:val="24"/>
        </w:rPr>
      </w:pPr>
      <w:r>
        <w:rPr>
          <w:rFonts w:hint="eastAsia" w:ascii="仿宋" w:hAnsi="仿宋" w:eastAsia="仿宋" w:cs="宋体"/>
          <w:sz w:val="24"/>
        </w:rPr>
        <w:t>b）应当对消防设施线路、管道、阀门及控制阀门的铅封、锁链等进行检查，对存在破损、松动、锈蚀、渗漏等情况的，及时采取补漏、紧固、除锈、刷漆、润滑、更换等措施恢复正常；</w:t>
      </w:r>
    </w:p>
    <w:p>
      <w:pPr>
        <w:spacing w:line="360" w:lineRule="auto"/>
        <w:ind w:firstLine="444"/>
        <w:contextualSpacing/>
        <w:rPr>
          <w:rFonts w:ascii="仿宋" w:hAnsi="仿宋" w:eastAsia="仿宋" w:cs="宋体"/>
          <w:sz w:val="24"/>
        </w:rPr>
      </w:pPr>
      <w:r>
        <w:rPr>
          <w:rFonts w:hint="eastAsia" w:ascii="仿宋" w:hAnsi="仿宋" w:eastAsia="仿宋" w:cs="宋体"/>
          <w:sz w:val="24"/>
        </w:rPr>
        <w:t>c）应当对消防设施各类标识进行统一设置，并定期进行检查，对存在破损、不齐全等情况的，及时进行更换和补齐；</w:t>
      </w:r>
    </w:p>
    <w:p>
      <w:pPr>
        <w:spacing w:line="360" w:lineRule="auto"/>
        <w:ind w:firstLine="444"/>
        <w:contextualSpacing/>
        <w:rPr>
          <w:rFonts w:ascii="仿宋" w:hAnsi="仿宋" w:eastAsia="仿宋" w:cs="宋体"/>
          <w:sz w:val="24"/>
        </w:rPr>
      </w:pPr>
      <w:r>
        <w:rPr>
          <w:rFonts w:hint="eastAsia" w:ascii="仿宋" w:hAnsi="仿宋" w:eastAsia="仿宋" w:cs="宋体"/>
          <w:sz w:val="24"/>
        </w:rPr>
        <w:t>d）对火灾探测器，应当根据国家标准和产品说明书的要求进行清洗或更换，每年对食堂操作间等污染严重场所火灾探测器进行更换;</w:t>
      </w:r>
    </w:p>
    <w:p>
      <w:pPr>
        <w:spacing w:line="360" w:lineRule="auto"/>
        <w:ind w:firstLine="444"/>
        <w:contextualSpacing/>
        <w:rPr>
          <w:rFonts w:ascii="仿宋" w:hAnsi="仿宋" w:eastAsia="仿宋" w:cs="宋体"/>
          <w:sz w:val="24"/>
        </w:rPr>
      </w:pPr>
      <w:r>
        <w:rPr>
          <w:rFonts w:hint="eastAsia" w:ascii="仿宋" w:hAnsi="仿宋" w:eastAsia="仿宋" w:cs="宋体"/>
          <w:sz w:val="24"/>
        </w:rPr>
        <w:t>e）应当按月、季、年维护保养任务完成情况，出具《消防设施维护保养报告书》</w:t>
      </w:r>
    </w:p>
    <w:p>
      <w:pPr>
        <w:spacing w:line="360" w:lineRule="auto"/>
        <w:ind w:firstLine="444"/>
        <w:contextualSpacing/>
        <w:rPr>
          <w:rFonts w:ascii="仿宋" w:hAnsi="仿宋" w:eastAsia="仿宋" w:cs="宋体"/>
          <w:sz w:val="24"/>
        </w:rPr>
      </w:pPr>
      <w:r>
        <w:rPr>
          <w:rFonts w:hint="eastAsia" w:ascii="仿宋" w:hAnsi="仿宋" w:eastAsia="仿宋" w:cs="宋体"/>
          <w:sz w:val="24"/>
        </w:rPr>
        <w:t>2.故障维修要求</w:t>
      </w:r>
    </w:p>
    <w:p>
      <w:pPr>
        <w:spacing w:line="360" w:lineRule="auto"/>
        <w:ind w:firstLine="444"/>
        <w:contextualSpacing/>
        <w:rPr>
          <w:rFonts w:ascii="仿宋" w:hAnsi="仿宋" w:eastAsia="仿宋" w:cs="宋体"/>
          <w:sz w:val="24"/>
        </w:rPr>
      </w:pPr>
      <w:r>
        <w:rPr>
          <w:rFonts w:hint="eastAsia" w:ascii="仿宋" w:hAnsi="仿宋" w:eastAsia="仿宋" w:cs="宋体"/>
          <w:sz w:val="24"/>
        </w:rPr>
        <w:t>当消防报警系统发生故障将影响或危及消防系统正常运行时，一般故障应在 6小时内解决，中级故障应在12 小时内解决，严重故障需要由投标人或者生产企业提供零配件时，应在5天内完成。重大事故设备厂家应在2小时内派支援团队到场协助抢修工作。</w:t>
      </w:r>
    </w:p>
    <w:p>
      <w:pPr>
        <w:spacing w:line="360" w:lineRule="auto"/>
        <w:ind w:firstLine="444"/>
        <w:contextualSpacing/>
        <w:rPr>
          <w:rFonts w:ascii="仿宋" w:hAnsi="仿宋" w:eastAsia="仿宋" w:cs="宋体"/>
          <w:sz w:val="24"/>
        </w:rPr>
      </w:pPr>
      <w:r>
        <w:rPr>
          <w:rFonts w:hint="eastAsia" w:ascii="仿宋" w:hAnsi="仿宋" w:eastAsia="仿宋" w:cs="宋体"/>
          <w:sz w:val="24"/>
        </w:rPr>
        <w:t>一般---局部故障不影响系统运行,可在6小时内修复。</w:t>
      </w:r>
    </w:p>
    <w:p>
      <w:pPr>
        <w:spacing w:line="360" w:lineRule="auto"/>
        <w:ind w:firstLine="444"/>
        <w:contextualSpacing/>
        <w:rPr>
          <w:rFonts w:ascii="仿宋" w:hAnsi="仿宋" w:eastAsia="仿宋" w:cs="宋体"/>
          <w:sz w:val="24"/>
        </w:rPr>
      </w:pPr>
      <w:r>
        <w:rPr>
          <w:rFonts w:hint="eastAsia" w:ascii="仿宋" w:hAnsi="仿宋" w:eastAsia="仿宋" w:cs="宋体"/>
          <w:sz w:val="24"/>
        </w:rPr>
        <w:t>中级---系统仍可正常运行,需暂时停用消防设施不超过12小时的。</w:t>
      </w:r>
    </w:p>
    <w:p>
      <w:pPr>
        <w:spacing w:line="360" w:lineRule="auto"/>
        <w:ind w:firstLine="444"/>
        <w:contextualSpacing/>
        <w:rPr>
          <w:rFonts w:ascii="仿宋" w:hAnsi="仿宋" w:eastAsia="仿宋" w:cs="宋体"/>
          <w:sz w:val="24"/>
        </w:rPr>
      </w:pPr>
      <w:r>
        <w:rPr>
          <w:rFonts w:hint="eastAsia" w:ascii="仿宋" w:hAnsi="仿宋" w:eastAsia="仿宋" w:cs="宋体"/>
          <w:sz w:val="24"/>
        </w:rPr>
        <w:t>严重---系统无法继续运行,需停用消防设施时间超过 24小时。</w:t>
      </w:r>
    </w:p>
    <w:p>
      <w:pPr>
        <w:spacing w:line="360" w:lineRule="auto"/>
        <w:ind w:firstLine="444"/>
        <w:contextualSpacing/>
        <w:rPr>
          <w:rFonts w:ascii="仿宋" w:hAnsi="仿宋" w:eastAsia="仿宋" w:cs="宋体"/>
          <w:sz w:val="24"/>
        </w:rPr>
      </w:pPr>
      <w:r>
        <w:rPr>
          <w:rFonts w:hint="eastAsia" w:ascii="仿宋" w:hAnsi="仿宋" w:eastAsia="仿宋" w:cs="宋体"/>
          <w:sz w:val="24"/>
        </w:rPr>
        <w:t>单件、单次故障维修所需材料、配件、零件等费用小于500元的，投标人负责免费维修。维修费用大于500元的，投标人应说明故障原因、维修方法、意见建议，采购人确认后，方可开展维修工作，否则不予承认。</w:t>
      </w:r>
    </w:p>
    <w:p>
      <w:pPr>
        <w:spacing w:line="360" w:lineRule="auto"/>
        <w:ind w:firstLine="444"/>
        <w:contextualSpacing/>
        <w:rPr>
          <w:rFonts w:ascii="仿宋" w:hAnsi="仿宋" w:eastAsia="仿宋" w:cs="宋体"/>
          <w:sz w:val="24"/>
        </w:rPr>
      </w:pPr>
      <w:r>
        <w:rPr>
          <w:rFonts w:hint="eastAsia" w:ascii="仿宋" w:hAnsi="仿宋" w:eastAsia="仿宋" w:cs="宋体"/>
          <w:sz w:val="24"/>
        </w:rPr>
        <w:t>投标人在每次故障维修后，应填写《</w:t>
      </w:r>
      <w:r>
        <w:rPr>
          <w:rFonts w:hint="eastAsia" w:ascii="仿宋" w:hAnsi="仿宋" w:eastAsia="仿宋" w:cs="宋体"/>
          <w:sz w:val="24"/>
          <w:lang w:val="en"/>
        </w:rPr>
        <w:t>消防设施故障维修单</w:t>
      </w:r>
      <w:r>
        <w:rPr>
          <w:rFonts w:hint="eastAsia" w:ascii="仿宋" w:hAnsi="仿宋" w:eastAsia="仿宋" w:cs="宋体"/>
          <w:sz w:val="24"/>
        </w:rPr>
        <w:t>》，说明故障原因、维修方法、处理结果，并由采购人签字盖章确认。</w:t>
      </w:r>
    </w:p>
    <w:p>
      <w:pPr>
        <w:spacing w:line="360" w:lineRule="auto"/>
        <w:ind w:firstLine="444"/>
        <w:contextualSpacing/>
        <w:rPr>
          <w:rFonts w:ascii="仿宋" w:hAnsi="仿宋" w:eastAsia="仿宋" w:cs="宋体"/>
          <w:sz w:val="24"/>
        </w:rPr>
      </w:pPr>
      <w:r>
        <w:rPr>
          <w:rFonts w:hint="eastAsia" w:ascii="仿宋" w:hAnsi="仿宋" w:eastAsia="仿宋" w:cs="宋体"/>
          <w:sz w:val="24"/>
        </w:rPr>
        <w:t>当投标人维修中级或严重消防设备故障，需停用或屏蔽消防设备，影响到消防系统正常使用时，必须报采购人或采购人委派的相关单位同意后方可进行，否则，一切后果由投标人负责。</w:t>
      </w:r>
    </w:p>
    <w:p>
      <w:pPr>
        <w:spacing w:line="360" w:lineRule="auto"/>
        <w:ind w:firstLine="444"/>
        <w:contextualSpacing/>
        <w:rPr>
          <w:rFonts w:ascii="仿宋" w:hAnsi="仿宋" w:eastAsia="仿宋" w:cs="宋体"/>
          <w:sz w:val="24"/>
        </w:rPr>
      </w:pPr>
      <w:r>
        <w:rPr>
          <w:rFonts w:hint="eastAsia" w:ascii="仿宋" w:hAnsi="仿宋" w:eastAsia="仿宋" w:cs="宋体"/>
          <w:sz w:val="24"/>
        </w:rPr>
        <w:t>3.培训要求及其他相关要求</w:t>
      </w:r>
    </w:p>
    <w:p>
      <w:pPr>
        <w:spacing w:line="360" w:lineRule="auto"/>
        <w:ind w:firstLine="444"/>
        <w:contextualSpacing/>
        <w:rPr>
          <w:rFonts w:ascii="仿宋" w:hAnsi="仿宋" w:eastAsia="仿宋" w:cs="宋体"/>
          <w:sz w:val="24"/>
        </w:rPr>
      </w:pPr>
      <w:r>
        <w:rPr>
          <w:rFonts w:hint="eastAsia" w:ascii="仿宋" w:hAnsi="仿宋" w:eastAsia="仿宋" w:cs="宋体"/>
          <w:sz w:val="24"/>
        </w:rPr>
        <w:t>投标人应选派熟悉现场情况，技术全面、责任心强的技术人员，为采购人提供技术支持及培训服务。</w:t>
      </w:r>
    </w:p>
    <w:p>
      <w:pPr>
        <w:spacing w:line="360" w:lineRule="auto"/>
        <w:ind w:firstLine="444"/>
        <w:contextualSpacing/>
        <w:rPr>
          <w:rFonts w:ascii="仿宋" w:hAnsi="仿宋" w:eastAsia="仿宋" w:cs="宋体"/>
          <w:sz w:val="24"/>
        </w:rPr>
      </w:pPr>
      <w:r>
        <w:rPr>
          <w:rFonts w:hint="eastAsia" w:ascii="仿宋" w:hAnsi="仿宋" w:eastAsia="仿宋" w:cs="宋体"/>
          <w:sz w:val="24"/>
        </w:rPr>
        <w:t>a）投标人每年为采购人消防控制室值班人员提供不少于2次技术培训，重点讲解消防报警主机构成、工作原理、故障分析、故障应急处理方法；</w:t>
      </w:r>
    </w:p>
    <w:p>
      <w:pPr>
        <w:spacing w:line="360" w:lineRule="auto"/>
        <w:ind w:firstLine="444"/>
        <w:contextualSpacing/>
        <w:rPr>
          <w:rFonts w:ascii="仿宋" w:hAnsi="仿宋" w:eastAsia="仿宋" w:cs="宋体"/>
          <w:sz w:val="24"/>
        </w:rPr>
      </w:pPr>
      <w:r>
        <w:rPr>
          <w:rFonts w:hint="eastAsia" w:ascii="仿宋" w:hAnsi="仿宋" w:eastAsia="仿宋" w:cs="宋体"/>
          <w:sz w:val="24"/>
        </w:rPr>
        <w:t>b）投标人应配合采购人完成《消防设施设备管理系统》建设，完成相关数据统计填报，消防设施设备二维码识别标识粘贴，以及管理系统优化测试工作。</w:t>
      </w:r>
    </w:p>
    <w:p>
      <w:pPr>
        <w:spacing w:line="360" w:lineRule="auto"/>
        <w:ind w:firstLine="444"/>
        <w:contextualSpacing/>
        <w:rPr>
          <w:rFonts w:ascii="仿宋" w:hAnsi="仿宋" w:eastAsia="仿宋" w:cs="宋体"/>
          <w:sz w:val="24"/>
        </w:rPr>
      </w:pPr>
      <w:r>
        <w:rPr>
          <w:rFonts w:hint="eastAsia" w:ascii="仿宋" w:hAnsi="仿宋" w:eastAsia="仿宋" w:cs="宋体"/>
          <w:sz w:val="24"/>
        </w:rPr>
        <w:t>c）投标人应向采购人提供技术方案咨询服务，例如架构规划、优化改造方案、规划测算等。</w:t>
      </w:r>
    </w:p>
    <w:p>
      <w:pPr>
        <w:spacing w:line="360" w:lineRule="auto"/>
        <w:ind w:firstLine="444"/>
        <w:contextualSpacing/>
        <w:rPr>
          <w:rFonts w:ascii="仿宋" w:hAnsi="仿宋" w:eastAsia="仿宋" w:cs="宋体"/>
          <w:sz w:val="24"/>
        </w:rPr>
      </w:pPr>
      <w:r>
        <w:rPr>
          <w:rFonts w:hint="eastAsia" w:ascii="仿宋" w:hAnsi="仿宋" w:eastAsia="仿宋" w:cs="宋体"/>
          <w:sz w:val="24"/>
        </w:rPr>
        <w:t>4.投标人对服务范围内建筑消防设施设备维护保养质量负责，如发生消防、电气设备设施引起的火灾、人员触电等安全事故，事后查明原因是由于维护保养不到位，消防设施没有发挥应有功能作用，所产生的后果及损失由投标人承担相应法律责任。</w:t>
      </w:r>
    </w:p>
    <w:p>
      <w:pPr>
        <w:spacing w:line="360" w:lineRule="auto"/>
        <w:ind w:firstLine="444"/>
        <w:contextualSpacing/>
        <w:rPr>
          <w:rFonts w:ascii="仿宋" w:hAnsi="仿宋" w:eastAsia="仿宋" w:cs="宋体"/>
          <w:sz w:val="24"/>
        </w:rPr>
      </w:pPr>
      <w:r>
        <w:rPr>
          <w:rFonts w:hint="eastAsia" w:ascii="仿宋" w:hAnsi="仿宋" w:eastAsia="仿宋" w:cs="宋体"/>
          <w:sz w:val="24"/>
        </w:rPr>
        <w:t>5.投标人在服务过程中如发现险情隐患应及时向采购人说明情况，以起到安全防范目的。投标人未尽此义务造成安全事故的，由投标人自行承担相应责任，并赔偿采购人一切经济损失。</w:t>
      </w:r>
    </w:p>
    <w:p>
      <w:pPr>
        <w:spacing w:line="360" w:lineRule="auto"/>
        <w:ind w:firstLine="444"/>
        <w:contextualSpacing/>
        <w:rPr>
          <w:rFonts w:ascii="仿宋" w:hAnsi="仿宋" w:eastAsia="仿宋" w:cs="宋体"/>
          <w:sz w:val="24"/>
        </w:rPr>
      </w:pPr>
      <w:r>
        <w:rPr>
          <w:rFonts w:hint="eastAsia" w:ascii="仿宋" w:hAnsi="仿宋" w:eastAsia="仿宋" w:cs="宋体"/>
          <w:sz w:val="24"/>
        </w:rPr>
        <w:t>6.投标人应配合采购人和相关单位完成消防设施年度消防、电气检测工作。</w:t>
      </w:r>
    </w:p>
    <w:p>
      <w:pPr>
        <w:spacing w:line="360" w:lineRule="auto"/>
        <w:ind w:firstLine="444"/>
        <w:contextualSpacing/>
        <w:rPr>
          <w:rFonts w:hint="eastAsia" w:ascii="仿宋" w:hAnsi="仿宋" w:eastAsia="仿宋" w:cs="宋体"/>
          <w:b/>
          <w:sz w:val="24"/>
        </w:rPr>
      </w:pPr>
      <w:r>
        <w:rPr>
          <w:rFonts w:hint="eastAsia" w:ascii="仿宋" w:hAnsi="仿宋" w:eastAsia="仿宋" w:cs="宋体"/>
          <w:sz w:val="24"/>
        </w:rPr>
        <w:t>7.为保证故障排除效率，投标人应储备一定数量的低值易耗备件，保证及时处理易发故障。</w:t>
      </w:r>
    </w:p>
    <w:p>
      <w:pPr>
        <w:jc w:val="both"/>
        <w:rPr>
          <w:rFonts w:hint="default"/>
          <w:b/>
          <w:bCs/>
          <w:sz w:val="32"/>
          <w:szCs w:val="40"/>
          <w:lang w:val="en-US" w:eastAsia="zh-CN"/>
        </w:rPr>
      </w:pPr>
      <w:bookmarkStart w:id="12" w:name="_GoBack"/>
      <w:bookmarkEnd w:id="12"/>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53</w: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FC38A0"/>
    <w:multiLevelType w:val="multilevel"/>
    <w:tmpl w:val="1BFC38A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638A7"/>
    <w:rsid w:val="00435B11"/>
    <w:rsid w:val="0872092E"/>
    <w:rsid w:val="14A26D8F"/>
    <w:rsid w:val="44CC3DAC"/>
    <w:rsid w:val="4B7E2B6C"/>
    <w:rsid w:val="5D9D153B"/>
    <w:rsid w:val="6DA01CBF"/>
    <w:rsid w:val="6FF45E07"/>
    <w:rsid w:val="774638A7"/>
    <w:rsid w:val="77AF04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5"/>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tabs>
        <w:tab w:val="left" w:pos="567"/>
      </w:tabs>
      <w:spacing w:before="120" w:line="22" w:lineRule="atLeast"/>
    </w:pPr>
    <w:rPr>
      <w:rFonts w:ascii="宋体" w:hAnsi="宋体"/>
      <w:sz w:val="24"/>
    </w:rPr>
  </w:style>
  <w:style w:type="paragraph" w:customStyle="1" w:styleId="3">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5">
    <w:name w:val="Normal Indent"/>
    <w:basedOn w:val="1"/>
    <w:qFormat/>
    <w:uiPriority w:val="0"/>
    <w:pPr>
      <w:autoSpaceDE w:val="0"/>
      <w:autoSpaceDN w:val="0"/>
      <w:adjustRightInd w:val="0"/>
      <w:ind w:firstLine="420"/>
      <w:jc w:val="left"/>
    </w:pPr>
    <w:rPr>
      <w:rFonts w:ascii="宋体"/>
      <w:sz w:val="24"/>
    </w:rPr>
  </w:style>
  <w:style w:type="paragraph" w:styleId="7">
    <w:name w:val="annotation text"/>
    <w:basedOn w:val="1"/>
    <w:qFormat/>
    <w:uiPriority w:val="99"/>
    <w:pPr>
      <w:jc w:val="left"/>
    </w:pPr>
  </w:style>
  <w:style w:type="paragraph" w:styleId="8">
    <w:name w:val="Body Text Indent"/>
    <w:basedOn w:val="1"/>
    <w:qFormat/>
    <w:uiPriority w:val="99"/>
    <w:pPr>
      <w:spacing w:line="360" w:lineRule="auto"/>
      <w:ind w:firstLine="570"/>
    </w:pPr>
    <w:rPr>
      <w:sz w:val="24"/>
    </w:rPr>
  </w:style>
  <w:style w:type="paragraph" w:styleId="9">
    <w:name w:val="Plain Text"/>
    <w:basedOn w:val="1"/>
    <w:qFormat/>
    <w:uiPriority w:val="0"/>
    <w:rPr>
      <w:rFonts w:hint="eastAsia" w:ascii="宋体" w:hAnsi="Courier New"/>
      <w:szCs w:val="20"/>
    </w:rPr>
  </w:style>
  <w:style w:type="paragraph" w:styleId="10">
    <w:name w:val="footer"/>
    <w:basedOn w:val="1"/>
    <w:unhideWhenUsed/>
    <w:qFormat/>
    <w:uiPriority w:val="0"/>
    <w:pPr>
      <w:tabs>
        <w:tab w:val="center" w:pos="4153"/>
        <w:tab w:val="right" w:pos="8306"/>
      </w:tabs>
      <w:snapToGrid w:val="0"/>
      <w:jc w:val="left"/>
    </w:pPr>
    <w:rPr>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uiPriority w:val="39"/>
    <w:pPr>
      <w:tabs>
        <w:tab w:val="right" w:leader="dot" w:pos="8937"/>
      </w:tabs>
      <w:spacing w:line="312" w:lineRule="auto"/>
      <w:ind w:left="420" w:leftChars="200"/>
    </w:pPr>
  </w:style>
  <w:style w:type="paragraph" w:styleId="1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4">
    <w:name w:val="Body Text First Indent 2"/>
    <w:basedOn w:val="8"/>
    <w:qFormat/>
    <w:uiPriority w:val="0"/>
    <w:pPr>
      <w:spacing w:after="120" w:line="480" w:lineRule="exact"/>
      <w:ind w:left="420" w:leftChars="200" w:firstLine="420" w:firstLineChars="200"/>
    </w:pPr>
    <w:rPr>
      <w:szCs w:val="20"/>
    </w:rPr>
  </w:style>
  <w:style w:type="character" w:styleId="17">
    <w:name w:val="page number"/>
    <w:qFormat/>
    <w:uiPriority w:val="0"/>
  </w:style>
  <w:style w:type="character" w:styleId="18">
    <w:name w:val="annotation reference"/>
    <w:qFormat/>
    <w:uiPriority w:val="99"/>
    <w:rPr>
      <w:sz w:val="21"/>
      <w:szCs w:val="21"/>
    </w:rPr>
  </w:style>
  <w:style w:type="paragraph" w:customStyle="1" w:styleId="19">
    <w:name w:val="SOW正文"/>
    <w:basedOn w:val="1"/>
    <w:qFormat/>
    <w:uiPriority w:val="0"/>
    <w:pPr>
      <w:snapToGrid w:val="0"/>
      <w:spacing w:before="120" w:line="400" w:lineRule="exact"/>
      <w:ind w:firstLine="425"/>
    </w:pPr>
    <w:rPr>
      <w:rFonts w:ascii="Times New Roman" w:hAnsi="Times New Roman"/>
      <w:sz w:val="24"/>
      <w:szCs w:val="20"/>
    </w:rPr>
  </w:style>
  <w:style w:type="paragraph" w:styleId="20">
    <w:name w:val="List Paragraph"/>
    <w:basedOn w:val="1"/>
    <w:qFormat/>
    <w:uiPriority w:val="34"/>
    <w:pPr>
      <w:ind w:firstLine="420" w:firstLineChars="200"/>
    </w:pPr>
    <w:rPr>
      <w:rFonts w:cs="Times New Roman"/>
      <w:szCs w:val="22"/>
    </w:rPr>
  </w:style>
  <w:style w:type="paragraph" w:customStyle="1" w:styleId="21">
    <w:name w:val="正文 A A"/>
    <w:qFormat/>
    <w:uiPriority w:val="0"/>
    <w:rPr>
      <w:rFonts w:ascii="Times New Roman" w:hAnsi="Arial Unicode MS" w:eastAsia="Arial Unicode MS" w:cs="Times New Roman"/>
      <w:color w:val="000000"/>
      <w:sz w:val="24"/>
      <w:szCs w:val="24"/>
      <w:lang w:val="en-US" w:eastAsia="zh-CN" w:bidi="ar-SA"/>
    </w:rPr>
  </w:style>
  <w:style w:type="paragraph" w:customStyle="1" w:styleId="22">
    <w:name w:val="无间隔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2024-07-31T00:37:00Z</dcterms:created>
  <dc:creator>张雅希</dc:creator>
  <cp:lastModifiedBy>张雅希</cp:lastModifiedBy>
  <dcterms:modified xsi:type="dcterms:W3CDTF">2024-12-06T06:54:25Z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F2C453F9BA9145D09F394B65CD248215</vt:lpwstr>
  </property>
</Properties>
</file>