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outlineLvl w:val="0"/>
        <w:rPr>
          <w:b/>
          <w:sz w:val="36"/>
          <w:szCs w:val="36"/>
        </w:rPr>
      </w:pPr>
      <w:bookmarkStart w:id="0" w:name="_Toc119489571"/>
      <w:r>
        <w:rPr>
          <w:b/>
          <w:sz w:val="36"/>
          <w:szCs w:val="36"/>
        </w:rPr>
        <w:t>采购需求</w:t>
      </w:r>
      <w:bookmarkEnd w:id="0"/>
    </w:p>
    <w:p>
      <w:pPr>
        <w:pStyle w:val="16"/>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6"/>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制剂室制剂生产所需中药饮片及其服务，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6"/>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6"/>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6"/>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kern w:val="0"/>
          <w:sz w:val="24"/>
        </w:rPr>
      </w:pPr>
      <w:r>
        <w:rPr>
          <w:rFonts w:hint="eastAsia" w:ascii="仿宋" w:hAnsi="仿宋" w:eastAsia="仿宋"/>
          <w:kern w:val="0"/>
          <w:sz w:val="24"/>
        </w:rPr>
        <w:t>1、符合国家中医药管理局颁布的《中药饮片质量标准通则（试行）》的要求。</w:t>
      </w:r>
    </w:p>
    <w:p>
      <w:pPr>
        <w:spacing w:line="360" w:lineRule="auto"/>
        <w:rPr>
          <w:rFonts w:ascii="仿宋" w:hAnsi="仿宋" w:eastAsia="仿宋"/>
          <w:kern w:val="0"/>
          <w:sz w:val="24"/>
          <w:highlight w:val="yellow"/>
        </w:rPr>
      </w:pPr>
      <w:r>
        <w:rPr>
          <w:rFonts w:hint="eastAsia" w:ascii="仿宋" w:hAnsi="仿宋" w:eastAsia="仿宋"/>
          <w:kern w:val="0"/>
          <w:sz w:val="24"/>
          <w:highlight w:val="yellow"/>
        </w:rPr>
        <w:t>2、投标人须严格按照《中华人民共和国药典》(2020年版一部)、《北京市中药饮片炮制规范》（现行）等生产和经营。</w:t>
      </w:r>
    </w:p>
    <w:p>
      <w:pPr>
        <w:spacing w:line="360" w:lineRule="auto"/>
        <w:rPr>
          <w:rFonts w:ascii="仿宋" w:hAnsi="仿宋" w:eastAsia="仿宋"/>
          <w:kern w:val="0"/>
          <w:sz w:val="24"/>
        </w:rPr>
      </w:pPr>
      <w:r>
        <w:rPr>
          <w:rFonts w:hint="eastAsia" w:ascii="仿宋" w:hAnsi="仿宋" w:eastAsia="仿宋"/>
          <w:kern w:val="0"/>
          <w:sz w:val="24"/>
          <w:highlight w:val="yellow"/>
        </w:rPr>
        <w:t>★3、投标人应为通过北京市药品监督管理局GMP符合性检查的中药饮片生产企业。</w:t>
      </w:r>
    </w:p>
    <w:p>
      <w:pPr>
        <w:spacing w:line="360" w:lineRule="auto"/>
        <w:rPr>
          <w:rFonts w:ascii="仿宋" w:hAnsi="仿宋" w:eastAsia="仿宋"/>
          <w:bCs/>
          <w:sz w:val="24"/>
        </w:rPr>
      </w:pPr>
      <w:r>
        <w:rPr>
          <w:rFonts w:hint="eastAsia" w:ascii="仿宋" w:hAnsi="仿宋" w:eastAsia="仿宋"/>
          <w:kern w:val="0"/>
          <w:sz w:val="24"/>
        </w:rPr>
        <w:t>4、投标产品的包装应符合《财政部等三部门联合印发商品包装和快递包装政府采购需求标准（试行）》（财办库〔2020〕123号）的规定。</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6"/>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074"/>
        <w:gridCol w:w="2955"/>
        <w:gridCol w:w="2125"/>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63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品目号</w:t>
            </w:r>
          </w:p>
        </w:tc>
        <w:tc>
          <w:tcPr>
            <w:tcW w:w="1734"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24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数量（kg）</w:t>
            </w:r>
          </w:p>
        </w:tc>
        <w:tc>
          <w:tcPr>
            <w:tcW w:w="860"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restar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630" w:type="pct"/>
            <w:shd w:val="clear" w:color="auto" w:fill="auto"/>
            <w:vAlign w:val="center"/>
          </w:tcPr>
          <w:p>
            <w:pPr>
              <w:jc w:val="center"/>
              <w:rPr>
                <w:rFonts w:ascii="仿宋" w:hAnsi="仿宋" w:eastAsia="仿宋"/>
                <w:sz w:val="24"/>
              </w:rPr>
            </w:pPr>
            <w:r>
              <w:rPr>
                <w:rFonts w:hint="eastAsia" w:ascii="仿宋" w:hAnsi="仿宋" w:eastAsia="仿宋"/>
                <w:sz w:val="24"/>
              </w:rPr>
              <w:t>1-1</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荆芥穗</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570</w:t>
            </w:r>
          </w:p>
        </w:tc>
        <w:tc>
          <w:tcPr>
            <w:tcW w:w="860" w:type="pct"/>
            <w:vAlign w:val="center"/>
          </w:tcPr>
          <w:p>
            <w:pPr>
              <w:widowControl/>
              <w:jc w:val="center"/>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1-2</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连翘</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456</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1-3</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白芷</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570</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1-4</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苍术</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342</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1-5</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铁丝威灵仙</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456</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1-6</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大黄</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342</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1-7</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大风子</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1140</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1-8</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白鲜皮</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114</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1-9</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黄柏</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4375</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1-10</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苦参</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4375</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1-11</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FF0000"/>
                <w:kern w:val="0"/>
                <w:sz w:val="24"/>
                <w:lang w:bidi="ar"/>
              </w:rPr>
              <w:t>黄芩片</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3500</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1-12</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蛇床子</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4375</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1-13</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马齿苋</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5250</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1-14</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板蓝根</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4375</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1-15</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FF0000"/>
                <w:kern w:val="0"/>
                <w:sz w:val="24"/>
                <w:lang w:bidi="ar"/>
              </w:rPr>
              <w:t>北败酱</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5250</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29" w:type="pct"/>
            <w:vMerge w:val="continue"/>
            <w:shd w:val="clear" w:color="auto" w:fill="auto"/>
            <w:noWrap/>
            <w:vAlign w:val="center"/>
          </w:tcPr>
          <w:p>
            <w:pPr>
              <w:jc w:val="center"/>
              <w:rPr>
                <w:rFonts w:ascii="仿宋" w:hAnsi="仿宋" w:eastAsia="仿宋"/>
                <w:sz w:val="24"/>
              </w:rPr>
            </w:pPr>
          </w:p>
        </w:tc>
        <w:tc>
          <w:tcPr>
            <w:tcW w:w="630" w:type="pct"/>
            <w:shd w:val="clear" w:color="auto" w:fill="auto"/>
            <w:vAlign w:val="center"/>
          </w:tcPr>
          <w:p>
            <w:pPr>
              <w:jc w:val="center"/>
            </w:pPr>
            <w:r>
              <w:rPr>
                <w:rFonts w:hint="eastAsia" w:ascii="仿宋" w:hAnsi="仿宋" w:eastAsia="仿宋"/>
                <w:sz w:val="24"/>
              </w:rPr>
              <w:t>1-16</w:t>
            </w:r>
          </w:p>
        </w:tc>
        <w:tc>
          <w:tcPr>
            <w:tcW w:w="1734" w:type="pct"/>
            <w:shd w:val="clear" w:color="auto" w:fill="auto"/>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陈皮</w:t>
            </w:r>
          </w:p>
        </w:tc>
        <w:tc>
          <w:tcPr>
            <w:tcW w:w="1247" w:type="pct"/>
            <w:noWrap/>
            <w:vAlign w:val="center"/>
          </w:tcPr>
          <w:p>
            <w:pPr>
              <w:widowControl/>
              <w:jc w:val="center"/>
              <w:textAlignment w:val="center"/>
              <w:rPr>
                <w:rFonts w:ascii="仿宋" w:hAnsi="仿宋" w:eastAsia="仿宋" w:cs="仿宋"/>
                <w:bCs/>
                <w:sz w:val="24"/>
              </w:rPr>
            </w:pPr>
            <w:r>
              <w:rPr>
                <w:rFonts w:hint="eastAsia" w:ascii="仿宋" w:hAnsi="仿宋" w:eastAsia="仿宋" w:cs="仿宋"/>
                <w:color w:val="404040"/>
                <w:kern w:val="0"/>
                <w:sz w:val="24"/>
                <w:lang w:bidi="ar"/>
              </w:rPr>
              <w:t>3500</w:t>
            </w:r>
          </w:p>
        </w:tc>
        <w:tc>
          <w:tcPr>
            <w:tcW w:w="860" w:type="pct"/>
            <w:vAlign w:val="center"/>
          </w:tcPr>
          <w:p>
            <w:pPr>
              <w:jc w:val="center"/>
              <w:rPr>
                <w:rFonts w:ascii="仿宋" w:hAnsi="仿宋" w:eastAsia="仿宋" w:cs="仿宋"/>
              </w:rPr>
            </w:pPr>
            <w:r>
              <w:rPr>
                <w:rFonts w:hint="eastAsia" w:ascii="仿宋" w:hAnsi="仿宋" w:eastAsia="仿宋" w:cs="仿宋"/>
                <w:sz w:val="24"/>
              </w:rPr>
              <w:t>否</w:t>
            </w:r>
          </w:p>
        </w:tc>
      </w:tr>
    </w:tbl>
    <w:p>
      <w:pPr>
        <w:pStyle w:val="16"/>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w:t>
      </w:r>
      <w:r>
        <w:rPr>
          <w:rFonts w:hint="eastAsia" w:ascii="仿宋" w:hAnsi="仿宋" w:eastAsia="仿宋" w:cs="宋体"/>
          <w:sz w:val="24"/>
        </w:rPr>
        <w:t>首都儿科研究所附属儿童医院指定时间</w:t>
      </w:r>
      <w:r>
        <w:rPr>
          <w:rFonts w:hint="eastAsia" w:ascii="仿宋" w:hAnsi="仿宋" w:eastAsia="仿宋"/>
          <w:sz w:val="24"/>
        </w:rPr>
        <w:t>。</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2、采购项目（标的）交付的地点：首都儿科研究所附属儿童医院指定地点。</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rPr>
          <w:rFonts w:ascii="仿宋" w:hAnsi="仿宋" w:eastAsia="仿宋"/>
          <w:sz w:val="24"/>
        </w:rPr>
      </w:pPr>
      <w:r>
        <w:rPr>
          <w:rFonts w:hint="eastAsia" w:ascii="仿宋" w:hAnsi="仿宋" w:eastAsia="仿宋"/>
          <w:sz w:val="24"/>
        </w:rPr>
        <w:t>1.服务期限：自合同签订之日起1年。</w:t>
      </w:r>
    </w:p>
    <w:p>
      <w:pPr>
        <w:pStyle w:val="16"/>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7"/>
        <w:spacing w:before="156" w:beforeLines="50" w:line="360" w:lineRule="auto"/>
        <w:ind w:firstLine="480" w:firstLineChars="200"/>
        <w:rPr>
          <w:rFonts w:hint="default" w:ascii="仿宋" w:hAnsi="仿宋" w:eastAsia="仿宋"/>
          <w:bCs/>
          <w:sz w:val="24"/>
          <w:szCs w:val="24"/>
        </w:rPr>
      </w:pPr>
      <w:r>
        <w:rPr>
          <w:rFonts w:ascii="仿宋" w:hAnsi="仿宋" w:eastAsia="仿宋"/>
          <w:bCs/>
          <w:sz w:val="24"/>
          <w:szCs w:val="24"/>
        </w:rPr>
        <w:t>将中药饮片在规定的时间内配送到院方指定的交货地点后，按照院方的申请定单，共同核对货物包装、标签、外观、形状、数量等。中药饮片首次采购前需给医院送样审核、备案，此后饮片验收药品质量应与留样一致。验收入库后，支持医院有关人员随时进行中药饮片质量抽查，若遇到质量问题，应按照医院有关规定处罚。</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投标人需按照招标文件要求提供整体服务方案及质量保障体系、仓储服务能力、配送及包装服务能力、信息化管理实施服务方案、服务承诺和保障措施、应急预案、项目配备人员和售后服务方案等。</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制剂生产所用中药饮片采购项目</w:t>
      </w:r>
    </w:p>
    <w:p>
      <w:pPr>
        <w:widowControl/>
        <w:spacing w:line="360" w:lineRule="auto"/>
        <w:jc w:val="left"/>
        <w:rPr>
          <w:rFonts w:ascii="仿宋" w:hAnsi="仿宋" w:eastAsia="仿宋"/>
          <w:b/>
          <w:szCs w:val="21"/>
        </w:rPr>
      </w:pPr>
      <w:r>
        <w:rPr>
          <w:rFonts w:hint="eastAsia" w:ascii="仿宋" w:hAnsi="仿宋" w:eastAsia="仿宋"/>
          <w:b/>
          <w:szCs w:val="21"/>
        </w:rPr>
        <w:t>一、需求一览表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793"/>
        <w:gridCol w:w="2032"/>
        <w:gridCol w:w="163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1" w:type="pct"/>
            <w:vAlign w:val="center"/>
          </w:tcPr>
          <w:p>
            <w:pPr>
              <w:spacing w:line="360" w:lineRule="auto"/>
              <w:contextualSpacing/>
              <w:jc w:val="center"/>
              <w:rPr>
                <w:rFonts w:ascii="仿宋" w:hAnsi="仿宋" w:eastAsia="仿宋" w:cs="宋体"/>
                <w:b/>
                <w:kern w:val="0"/>
                <w:szCs w:val="21"/>
              </w:rPr>
            </w:pPr>
            <w:r>
              <w:rPr>
                <w:rFonts w:hint="eastAsia" w:ascii="仿宋" w:hAnsi="仿宋" w:eastAsia="仿宋" w:cs="宋体"/>
                <w:b/>
                <w:kern w:val="0"/>
                <w:szCs w:val="21"/>
              </w:rPr>
              <w:t>品目号</w:t>
            </w:r>
          </w:p>
        </w:tc>
        <w:tc>
          <w:tcPr>
            <w:tcW w:w="965" w:type="pct"/>
            <w:vAlign w:val="center"/>
          </w:tcPr>
          <w:p>
            <w:pPr>
              <w:spacing w:line="360" w:lineRule="auto"/>
              <w:contextualSpacing/>
              <w:jc w:val="center"/>
              <w:rPr>
                <w:rFonts w:ascii="仿宋" w:hAnsi="仿宋" w:eastAsia="仿宋" w:cs="宋体"/>
                <w:b/>
                <w:kern w:val="0"/>
                <w:szCs w:val="21"/>
              </w:rPr>
            </w:pPr>
            <w:r>
              <w:rPr>
                <w:rFonts w:ascii="仿宋" w:hAnsi="仿宋" w:eastAsia="仿宋" w:cs="宋体"/>
                <w:b/>
                <w:kern w:val="0"/>
                <w:szCs w:val="21"/>
              </w:rPr>
              <w:t>标的名称</w:t>
            </w:r>
          </w:p>
        </w:tc>
        <w:tc>
          <w:tcPr>
            <w:tcW w:w="1094" w:type="pct"/>
            <w:vAlign w:val="center"/>
          </w:tcPr>
          <w:p>
            <w:pPr>
              <w:spacing w:line="360" w:lineRule="auto"/>
              <w:contextualSpacing/>
              <w:jc w:val="center"/>
              <w:rPr>
                <w:rFonts w:ascii="仿宋" w:hAnsi="仿宋" w:eastAsia="仿宋"/>
                <w:b/>
                <w:bCs/>
                <w:szCs w:val="21"/>
              </w:rPr>
            </w:pPr>
            <w:r>
              <w:rPr>
                <w:rFonts w:hint="eastAsia" w:ascii="仿宋" w:hAnsi="仿宋" w:eastAsia="仿宋"/>
                <w:b/>
                <w:bCs/>
                <w:szCs w:val="21"/>
              </w:rPr>
              <w:t>品规</w:t>
            </w:r>
          </w:p>
        </w:tc>
        <w:tc>
          <w:tcPr>
            <w:tcW w:w="878" w:type="pct"/>
            <w:vAlign w:val="center"/>
          </w:tcPr>
          <w:p>
            <w:pPr>
              <w:widowControl/>
              <w:spacing w:line="360" w:lineRule="auto"/>
              <w:jc w:val="center"/>
              <w:textAlignment w:val="center"/>
              <w:rPr>
                <w:rFonts w:ascii="仿宋" w:hAnsi="仿宋" w:eastAsia="仿宋"/>
                <w:b/>
                <w:bCs/>
                <w:szCs w:val="21"/>
              </w:rPr>
            </w:pPr>
            <w:r>
              <w:rPr>
                <w:rFonts w:hint="eastAsia" w:ascii="仿宋" w:hAnsi="仿宋" w:eastAsia="仿宋"/>
                <w:b/>
                <w:bCs/>
                <w:szCs w:val="21"/>
              </w:rPr>
              <w:t>饮片产地</w:t>
            </w:r>
          </w:p>
        </w:tc>
        <w:tc>
          <w:tcPr>
            <w:tcW w:w="781" w:type="pct"/>
            <w:vAlign w:val="center"/>
          </w:tcPr>
          <w:p>
            <w:pPr>
              <w:spacing w:line="360" w:lineRule="auto"/>
              <w:contextualSpacing/>
              <w:jc w:val="center"/>
              <w:rPr>
                <w:rFonts w:ascii="仿宋" w:hAnsi="仿宋" w:eastAsia="仿宋"/>
                <w:b/>
                <w:bCs/>
                <w:szCs w:val="21"/>
              </w:rPr>
            </w:pPr>
            <w:r>
              <w:rPr>
                <w:rFonts w:hint="eastAsia" w:ascii="仿宋" w:hAnsi="仿宋" w:eastAsia="仿宋"/>
                <w:b/>
                <w:bCs/>
              </w:rPr>
              <w:t>用于品种</w:t>
            </w:r>
          </w:p>
        </w:tc>
        <w:tc>
          <w:tcPr>
            <w:tcW w:w="781" w:type="pct"/>
            <w:vAlign w:val="center"/>
          </w:tcPr>
          <w:p>
            <w:pPr>
              <w:spacing w:line="360" w:lineRule="auto"/>
              <w:contextualSpacing/>
              <w:jc w:val="center"/>
              <w:rPr>
                <w:rFonts w:ascii="仿宋" w:hAnsi="仿宋" w:eastAsia="仿宋" w:cs="宋体"/>
                <w:b/>
                <w:kern w:val="0"/>
                <w:szCs w:val="21"/>
              </w:rPr>
            </w:pPr>
            <w:r>
              <w:rPr>
                <w:rFonts w:hint="eastAsia" w:ascii="仿宋" w:hAnsi="仿宋" w:eastAsia="仿宋"/>
                <w:b/>
                <w:bCs/>
                <w:szCs w:val="21"/>
              </w:rPr>
              <w:t>数量（kg）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荆芥穗</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河北</w:t>
            </w:r>
          </w:p>
        </w:tc>
        <w:tc>
          <w:tcPr>
            <w:tcW w:w="781" w:type="pct"/>
            <w:vMerge w:val="restart"/>
            <w:vAlign w:val="center"/>
          </w:tcPr>
          <w:p>
            <w:pPr>
              <w:spacing w:line="360" w:lineRule="auto"/>
              <w:contextualSpacing/>
              <w:jc w:val="center"/>
              <w:rPr>
                <w:rFonts w:ascii="仿宋" w:hAnsi="仿宋" w:eastAsia="仿宋" w:cs="宋体"/>
                <w:kern w:val="0"/>
                <w:szCs w:val="21"/>
              </w:rPr>
            </w:pPr>
            <w:r>
              <w:rPr>
                <w:rFonts w:hint="eastAsia" w:ascii="仿宋" w:hAnsi="仿宋" w:eastAsia="仿宋"/>
              </w:rPr>
              <w:t>肤乐霜</w:t>
            </w: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2</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连翘</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青翘</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山西</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3</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白芷</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四川</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4</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苍术</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北苍术</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内蒙古</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5</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铁丝威灵仙</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短梗菝葜</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辽宁</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6</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大黄</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掌叶大黄</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青海、甘肃</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7</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大风子</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云南</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8</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白鲜皮</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辽宁</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9</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黄柏</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川黄柏</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四川</w:t>
            </w:r>
          </w:p>
        </w:tc>
        <w:tc>
          <w:tcPr>
            <w:tcW w:w="781" w:type="pct"/>
            <w:vMerge w:val="restart"/>
            <w:vAlign w:val="center"/>
          </w:tcPr>
          <w:p>
            <w:pPr>
              <w:spacing w:line="360" w:lineRule="auto"/>
              <w:contextualSpacing/>
              <w:jc w:val="center"/>
              <w:rPr>
                <w:rFonts w:ascii="仿宋" w:hAnsi="仿宋" w:eastAsia="仿宋" w:cs="宋体"/>
                <w:kern w:val="0"/>
                <w:szCs w:val="21"/>
              </w:rPr>
            </w:pPr>
            <w:r>
              <w:rPr>
                <w:rFonts w:hint="eastAsia" w:ascii="仿宋" w:hAnsi="仿宋" w:eastAsia="仿宋"/>
              </w:rPr>
              <w:t>双黄祛湿洗剂</w:t>
            </w: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10</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苦参</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内蒙古</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11</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黄芩片</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内蒙古</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12</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蛇床子</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河北</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13</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马齿苋</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河北</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14</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板蓝根</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安徽</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4375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15</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北败酱</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河北</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01" w:type="pct"/>
            <w:vAlign w:val="center"/>
          </w:tcPr>
          <w:p>
            <w:pPr>
              <w:spacing w:line="360" w:lineRule="auto"/>
              <w:contextualSpacing/>
              <w:jc w:val="center"/>
              <w:rPr>
                <w:rFonts w:ascii="仿宋" w:hAnsi="仿宋" w:eastAsia="仿宋" w:cs="宋体"/>
                <w:kern w:val="0"/>
                <w:szCs w:val="21"/>
              </w:rPr>
            </w:pPr>
            <w:r>
              <w:rPr>
                <w:rFonts w:hint="eastAsia" w:ascii="仿宋" w:hAnsi="仿宋" w:eastAsia="仿宋"/>
                <w:szCs w:val="21"/>
              </w:rPr>
              <w:t>1-</w:t>
            </w:r>
            <w:r>
              <w:rPr>
                <w:rFonts w:ascii="仿宋" w:hAnsi="仿宋" w:eastAsia="仿宋"/>
                <w:szCs w:val="21"/>
              </w:rPr>
              <w:t>16</w:t>
            </w:r>
          </w:p>
        </w:tc>
        <w:tc>
          <w:tcPr>
            <w:tcW w:w="164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陈皮</w:t>
            </w:r>
          </w:p>
        </w:tc>
        <w:tc>
          <w:tcPr>
            <w:tcW w:w="1866"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陈皮</w:t>
            </w:r>
          </w:p>
        </w:tc>
        <w:tc>
          <w:tcPr>
            <w:tcW w:w="1498" w:type="dxa"/>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color w:val="404040"/>
                <w:kern w:val="0"/>
                <w:szCs w:val="21"/>
                <w:lang w:bidi="ar"/>
              </w:rPr>
              <w:t>四川</w:t>
            </w:r>
          </w:p>
        </w:tc>
        <w:tc>
          <w:tcPr>
            <w:tcW w:w="781" w:type="pct"/>
            <w:vMerge w:val="continue"/>
            <w:vAlign w:val="center"/>
          </w:tcPr>
          <w:p>
            <w:pPr>
              <w:spacing w:line="360" w:lineRule="auto"/>
              <w:contextualSpacing/>
              <w:jc w:val="center"/>
              <w:rPr>
                <w:rFonts w:ascii="仿宋" w:hAnsi="仿宋" w:eastAsia="仿宋" w:cs="宋体"/>
                <w:kern w:val="0"/>
                <w:szCs w:val="21"/>
              </w:rPr>
            </w:pPr>
          </w:p>
        </w:tc>
        <w:tc>
          <w:tcPr>
            <w:tcW w:w="1332" w:type="dxa"/>
            <w:vAlign w:val="center"/>
          </w:tcPr>
          <w:p>
            <w:pPr>
              <w:widowControl/>
              <w:jc w:val="center"/>
              <w:textAlignment w:val="center"/>
              <w:rPr>
                <w:rFonts w:ascii="仿宋" w:hAnsi="仿宋" w:eastAsia="仿宋" w:cs="仿宋"/>
                <w:kern w:val="0"/>
                <w:szCs w:val="21"/>
              </w:rPr>
            </w:pPr>
            <w:r>
              <w:rPr>
                <w:rFonts w:hint="eastAsia" w:ascii="仿宋" w:hAnsi="仿宋" w:eastAsia="仿宋" w:cs="仿宋"/>
                <w:color w:val="404040"/>
                <w:kern w:val="0"/>
                <w:szCs w:val="21"/>
                <w:lang w:bidi="ar"/>
              </w:rPr>
              <w:t>3500</w:t>
            </w:r>
          </w:p>
        </w:tc>
      </w:tr>
    </w:tbl>
    <w:p>
      <w:pPr>
        <w:spacing w:before="240" w:beforeLines="100" w:line="360" w:lineRule="auto"/>
        <w:ind w:right="-23"/>
        <w:rPr>
          <w:rFonts w:ascii="仿宋" w:hAnsi="仿宋" w:eastAsia="仿宋"/>
          <w:b/>
          <w:szCs w:val="21"/>
        </w:rPr>
      </w:pPr>
      <w:r>
        <w:rPr>
          <w:rFonts w:hint="eastAsia" w:ascii="仿宋" w:hAnsi="仿宋" w:eastAsia="仿宋"/>
          <w:b/>
          <w:szCs w:val="21"/>
        </w:rPr>
        <w:t>二、技术要求：</w:t>
      </w:r>
    </w:p>
    <w:p>
      <w:pPr>
        <w:tabs>
          <w:tab w:val="left" w:pos="900"/>
        </w:tabs>
        <w:spacing w:line="360" w:lineRule="auto"/>
        <w:rPr>
          <w:rFonts w:ascii="仿宋" w:hAnsi="仿宋" w:eastAsia="仿宋" w:cs="宋体"/>
          <w:b/>
          <w:bCs/>
          <w:szCs w:val="21"/>
        </w:rPr>
      </w:pPr>
      <w:r>
        <w:rPr>
          <w:rFonts w:hint="eastAsia" w:ascii="仿宋" w:hAnsi="仿宋" w:eastAsia="仿宋" w:cs="宋体"/>
          <w:b/>
          <w:bCs/>
          <w:szCs w:val="21"/>
        </w:rPr>
        <w:t>（一）项目概况</w:t>
      </w:r>
    </w:p>
    <w:p>
      <w:pPr>
        <w:tabs>
          <w:tab w:val="left" w:pos="1966"/>
        </w:tabs>
        <w:spacing w:line="360" w:lineRule="auto"/>
        <w:ind w:firstLine="420" w:firstLineChars="200"/>
        <w:rPr>
          <w:rFonts w:ascii="仿宋" w:hAnsi="仿宋" w:eastAsia="仿宋" w:cs="宋体"/>
          <w:kern w:val="0"/>
          <w:szCs w:val="21"/>
        </w:rPr>
      </w:pPr>
      <w:r>
        <w:rPr>
          <w:rFonts w:hint="eastAsia" w:ascii="仿宋" w:hAnsi="仿宋" w:eastAsia="仿宋" w:cs="宋体"/>
          <w:szCs w:val="21"/>
        </w:rPr>
        <w:t>本项目为采购人</w:t>
      </w:r>
      <w:r>
        <w:rPr>
          <w:rFonts w:hint="eastAsia" w:ascii="仿宋" w:hAnsi="仿宋" w:eastAsia="仿宋" w:cs="宋体"/>
          <w:szCs w:val="21"/>
          <w:lang w:eastAsia="zh-Hans"/>
        </w:rPr>
        <w:t>制剂</w:t>
      </w:r>
      <w:r>
        <w:rPr>
          <w:rFonts w:hint="eastAsia" w:ascii="仿宋" w:hAnsi="仿宋" w:eastAsia="仿宋" w:cs="宋体"/>
          <w:szCs w:val="21"/>
        </w:rPr>
        <w:t>中药原料的供应、配送等服务的投标人进行采购。</w:t>
      </w:r>
      <w:r>
        <w:rPr>
          <w:rFonts w:hint="eastAsia" w:ascii="仿宋" w:hAnsi="仿宋" w:eastAsia="仿宋" w:cs="宋体"/>
          <w:kern w:val="0"/>
          <w:szCs w:val="21"/>
        </w:rPr>
        <w:t>投标人应具有保证所经营中药材、中药原料质量的质量保障体系，建立药品质量档案，</w:t>
      </w:r>
      <w:r>
        <w:rPr>
          <w:rFonts w:hint="eastAsia" w:ascii="仿宋" w:hAnsi="仿宋" w:eastAsia="仿宋" w:cs="宋体"/>
          <w:szCs w:val="21"/>
          <w:shd w:val="clear" w:color="auto" w:fill="FFFFFF"/>
        </w:rPr>
        <w:t>确保所供应中药原料的质量，并能提供规范、专业、及时的</w:t>
      </w:r>
      <w:r>
        <w:rPr>
          <w:rFonts w:hint="eastAsia" w:ascii="仿宋" w:hAnsi="仿宋" w:eastAsia="仿宋" w:cs="宋体"/>
          <w:szCs w:val="21"/>
        </w:rPr>
        <w:t>配</w:t>
      </w:r>
      <w:r>
        <w:rPr>
          <w:rFonts w:hint="eastAsia" w:ascii="仿宋" w:hAnsi="仿宋" w:eastAsia="仿宋" w:cs="宋体"/>
          <w:kern w:val="0"/>
          <w:szCs w:val="21"/>
        </w:rPr>
        <w:t>送、退换货等服务。</w:t>
      </w:r>
    </w:p>
    <w:p>
      <w:pPr>
        <w:tabs>
          <w:tab w:val="left" w:pos="900"/>
        </w:tabs>
        <w:spacing w:line="360" w:lineRule="auto"/>
        <w:rPr>
          <w:rFonts w:ascii="仿宋" w:hAnsi="仿宋" w:eastAsia="仿宋" w:cs="宋体"/>
          <w:b/>
          <w:bCs/>
          <w:szCs w:val="21"/>
        </w:rPr>
      </w:pPr>
      <w:r>
        <w:rPr>
          <w:rFonts w:hint="eastAsia" w:ascii="仿宋" w:hAnsi="仿宋" w:eastAsia="仿宋" w:cs="宋体"/>
          <w:b/>
          <w:bCs/>
          <w:szCs w:val="21"/>
        </w:rPr>
        <w:t>（二）中药饮片要求</w:t>
      </w:r>
    </w:p>
    <w:p>
      <w:pPr>
        <w:tabs>
          <w:tab w:val="left" w:pos="900"/>
        </w:tabs>
        <w:spacing w:line="360" w:lineRule="auto"/>
        <w:rPr>
          <w:rFonts w:ascii="仿宋" w:hAnsi="仿宋" w:eastAsia="仿宋" w:cs="宋体"/>
          <w:bCs/>
          <w:szCs w:val="21"/>
        </w:rPr>
      </w:pPr>
      <w:r>
        <w:rPr>
          <w:rFonts w:hint="eastAsia" w:ascii="仿宋" w:hAnsi="仿宋" w:eastAsia="仿宋" w:cs="宋体"/>
          <w:bCs/>
          <w:szCs w:val="21"/>
        </w:rPr>
        <w:t>1、每个品目的中药饮片检测项目应达到全检，并提供有效检测报告，且应符合</w:t>
      </w:r>
      <w:r>
        <w:rPr>
          <w:rFonts w:hint="eastAsia" w:ascii="仿宋" w:hAnsi="仿宋" w:eastAsia="仿宋"/>
          <w:kern w:val="0"/>
          <w:szCs w:val="21"/>
          <w:highlight w:val="yellow"/>
        </w:rPr>
        <w:t>《中华人民共和国药典》(2020年版一部)、《北京市中药饮片炮制规范》（现行）</w:t>
      </w:r>
      <w:r>
        <w:rPr>
          <w:rFonts w:hint="eastAsia" w:ascii="仿宋" w:hAnsi="仿宋" w:eastAsia="仿宋" w:cs="宋体"/>
          <w:bCs/>
          <w:szCs w:val="21"/>
        </w:rPr>
        <w:t>的检测项目要求；</w:t>
      </w:r>
    </w:p>
    <w:p>
      <w:pPr>
        <w:tabs>
          <w:tab w:val="left" w:pos="900"/>
        </w:tabs>
        <w:spacing w:line="360" w:lineRule="auto"/>
        <w:rPr>
          <w:rFonts w:ascii="仿宋" w:hAnsi="仿宋" w:eastAsia="仿宋" w:cs="宋体"/>
          <w:bCs/>
          <w:szCs w:val="21"/>
        </w:rPr>
      </w:pPr>
      <w:r>
        <w:rPr>
          <w:rFonts w:hint="eastAsia" w:ascii="仿宋" w:hAnsi="仿宋" w:eastAsia="仿宋" w:cs="宋体"/>
          <w:bCs/>
          <w:szCs w:val="21"/>
        </w:rPr>
        <w:t>2、《药品生产许可证》的经营范围、炮制范围与所有标的品种的技术要求相一致；</w:t>
      </w:r>
    </w:p>
    <w:p>
      <w:pPr>
        <w:tabs>
          <w:tab w:val="left" w:pos="900"/>
        </w:tabs>
        <w:spacing w:line="360" w:lineRule="auto"/>
        <w:rPr>
          <w:rFonts w:ascii="仿宋" w:hAnsi="仿宋" w:eastAsia="仿宋" w:cs="宋体"/>
          <w:bCs/>
          <w:szCs w:val="21"/>
        </w:rPr>
      </w:pPr>
      <w:r>
        <w:rPr>
          <w:rFonts w:hint="eastAsia" w:ascii="仿宋" w:hAnsi="仿宋" w:eastAsia="仿宋" w:cs="宋体"/>
          <w:bCs/>
          <w:szCs w:val="21"/>
        </w:rPr>
        <w:t>3、所供应的中药饮片不得出现虫蛀、霉变、结串、走油、酸败、变色、吸潮等变质现象；不得出现碎颗粒及灰尘、杂质太多；不得出现掺伪、掺杂、以次充好等情况；</w:t>
      </w:r>
    </w:p>
    <w:p>
      <w:pPr>
        <w:tabs>
          <w:tab w:val="left" w:pos="900"/>
        </w:tabs>
        <w:spacing w:line="360" w:lineRule="auto"/>
        <w:rPr>
          <w:rFonts w:ascii="仿宋" w:hAnsi="仿宋" w:eastAsia="仿宋" w:cs="宋体"/>
          <w:bCs/>
          <w:szCs w:val="21"/>
        </w:rPr>
      </w:pPr>
      <w:r>
        <w:rPr>
          <w:rFonts w:hint="eastAsia" w:ascii="仿宋" w:hAnsi="仿宋" w:eastAsia="仿宋" w:cs="宋体"/>
          <w:bCs/>
          <w:szCs w:val="21"/>
        </w:rPr>
        <w:t xml:space="preserve">4、有中药材种植基地，如有中药饮片质量追溯系统，需提供与应标品种相关内容。 </w:t>
      </w:r>
    </w:p>
    <w:p>
      <w:pPr>
        <w:spacing w:line="360" w:lineRule="auto"/>
        <w:rPr>
          <w:rFonts w:ascii="仿宋" w:hAnsi="仿宋" w:eastAsia="仿宋" w:cs="宋体"/>
          <w:b/>
          <w:bCs/>
          <w:kern w:val="0"/>
          <w:szCs w:val="21"/>
        </w:rPr>
      </w:pPr>
      <w:r>
        <w:rPr>
          <w:rFonts w:hint="eastAsia" w:ascii="仿宋" w:hAnsi="仿宋" w:eastAsia="仿宋" w:cs="宋体"/>
          <w:b/>
          <w:bCs/>
          <w:kern w:val="0"/>
          <w:szCs w:val="21"/>
        </w:rPr>
        <w:t>（三）投标人能力要求</w:t>
      </w:r>
    </w:p>
    <w:p>
      <w:pPr>
        <w:widowControl/>
        <w:shd w:val="clear" w:color="auto" w:fill="FFFFFF"/>
        <w:adjustRightInd w:val="0"/>
        <w:spacing w:line="360" w:lineRule="auto"/>
        <w:jc w:val="left"/>
        <w:rPr>
          <w:rFonts w:ascii="仿宋" w:hAnsi="仿宋" w:eastAsia="仿宋" w:cs="宋体"/>
          <w:kern w:val="0"/>
          <w:szCs w:val="21"/>
        </w:rPr>
      </w:pPr>
      <w:r>
        <w:rPr>
          <w:rFonts w:ascii="仿宋" w:hAnsi="仿宋" w:eastAsia="仿宋" w:cs="宋体"/>
          <w:kern w:val="0"/>
          <w:szCs w:val="21"/>
        </w:rPr>
        <w:t>1</w:t>
      </w:r>
      <w:r>
        <w:rPr>
          <w:rFonts w:hint="eastAsia" w:ascii="仿宋" w:hAnsi="仿宋" w:eastAsia="仿宋" w:cs="宋体"/>
          <w:kern w:val="0"/>
          <w:szCs w:val="21"/>
        </w:rPr>
        <w:t>、投标人具有专业的生产技术人员、质量检测人员和质量检测仪器。自由的</w:t>
      </w:r>
      <w:r>
        <w:rPr>
          <w:rFonts w:ascii="仿宋" w:hAnsi="仿宋" w:eastAsia="仿宋" w:cs="宋体"/>
          <w:kern w:val="0"/>
          <w:szCs w:val="21"/>
        </w:rPr>
        <w:t>质管团队，质管团队应具备相应专业技术能力。</w:t>
      </w:r>
      <w:r>
        <w:rPr>
          <w:rFonts w:hint="eastAsia" w:ascii="仿宋" w:hAnsi="仿宋" w:eastAsia="仿宋" w:cs="宋体"/>
          <w:kern w:val="0"/>
          <w:szCs w:val="21"/>
        </w:rPr>
        <w:t>提供的关于药品清单每个品种检测项目达到全检，符合</w:t>
      </w:r>
      <w:r>
        <w:rPr>
          <w:rFonts w:hint="eastAsia" w:ascii="仿宋" w:hAnsi="仿宋" w:eastAsia="仿宋" w:cs="宋体"/>
          <w:kern w:val="0"/>
          <w:szCs w:val="21"/>
          <w:highlight w:val="yellow"/>
        </w:rPr>
        <w:t>《中华人民共和国药典》(2020年版一部)、《北京市中药饮片炮制规范》（现行）</w:t>
      </w:r>
      <w:r>
        <w:rPr>
          <w:rFonts w:hint="eastAsia" w:ascii="仿宋" w:hAnsi="仿宋" w:eastAsia="仿宋" w:cs="宋体"/>
          <w:kern w:val="0"/>
          <w:szCs w:val="21"/>
        </w:rPr>
        <w:t>的检测项目要求。具有监测农药残留和重金属残留检测能力。能够提供以下材料</w:t>
      </w:r>
      <w:r>
        <w:rPr>
          <w:rFonts w:hint="eastAsia" w:ascii="仿宋" w:hAnsi="仿宋" w:eastAsia="仿宋" w:cs="宋体"/>
          <w:szCs w:val="21"/>
        </w:rPr>
        <w:t>（须附需提供相关证明文件的复印件加盖公章）</w:t>
      </w:r>
      <w:r>
        <w:rPr>
          <w:rFonts w:hint="eastAsia" w:ascii="仿宋" w:hAnsi="仿宋" w:eastAsia="仿宋" w:cs="宋体"/>
          <w:kern w:val="0"/>
          <w:szCs w:val="21"/>
        </w:rPr>
        <w:t>：与本项目品种技术要求相一致的的生产工艺流程图、本项目中16个品种的《法定标准》及《企业内控质量标准》、与本项目中16个品种技术要求相一致的的《产品检验报告书》。</w:t>
      </w:r>
    </w:p>
    <w:p>
      <w:pPr>
        <w:spacing w:line="360" w:lineRule="auto"/>
        <w:rPr>
          <w:rFonts w:ascii="仿宋" w:hAnsi="仿宋" w:eastAsia="仿宋" w:cs="宋体"/>
          <w:kern w:val="0"/>
          <w:szCs w:val="21"/>
        </w:rPr>
      </w:pPr>
      <w:r>
        <w:rPr>
          <w:rFonts w:ascii="仿宋" w:hAnsi="仿宋" w:eastAsia="仿宋" w:cs="宋体"/>
          <w:kern w:val="0"/>
          <w:szCs w:val="21"/>
        </w:rPr>
        <w:t>2</w:t>
      </w:r>
      <w:r>
        <w:rPr>
          <w:rFonts w:hint="eastAsia" w:ascii="仿宋" w:hAnsi="仿宋" w:eastAsia="仿宋" w:cs="宋体"/>
          <w:kern w:val="0"/>
          <w:szCs w:val="21"/>
        </w:rPr>
        <w:t>、为保障中药原料质量，与其经营范围、经营规模相适应的生产场所、办公用</w:t>
      </w:r>
      <w:r>
        <w:rPr>
          <w:rFonts w:hint="eastAsia" w:ascii="仿宋" w:hAnsi="仿宋" w:eastAsia="仿宋" w:cs="宋体"/>
          <w:szCs w:val="21"/>
        </w:rPr>
        <w:t>房和常温库、阴凉库、冷藏设备、毒麻、细料柜等。其仓储总面积≥10000㎡，其中常温库仓储面积≥8000㎡、阴凉库面积≥2000㎡</w:t>
      </w:r>
      <w:r>
        <w:rPr>
          <w:rFonts w:hint="eastAsia" w:ascii="仿宋" w:hAnsi="仿宋" w:eastAsia="仿宋" w:cs="宋体"/>
          <w:spacing w:val="8"/>
          <w:szCs w:val="21"/>
        </w:rPr>
        <w:t>；</w:t>
      </w:r>
      <w:r>
        <w:rPr>
          <w:rFonts w:hint="eastAsia" w:ascii="仿宋" w:hAnsi="仿宋" w:eastAsia="仿宋" w:cs="宋体"/>
          <w:szCs w:val="21"/>
        </w:rPr>
        <w:t>提供的</w:t>
      </w:r>
      <w:r>
        <w:rPr>
          <w:rFonts w:hint="eastAsia" w:ascii="仿宋" w:hAnsi="仿宋" w:eastAsia="仿宋" w:cs="宋体"/>
          <w:spacing w:val="8"/>
          <w:szCs w:val="21"/>
        </w:rPr>
        <w:t>仓储日常管理方案合理、有良好的仓储管理机制、有良好的饮片养护方案及防蛀、防潮、防霉等设施；库房管理制度全面、仓库内外环境无污染源，</w:t>
      </w:r>
      <w:r>
        <w:rPr>
          <w:rFonts w:hint="eastAsia" w:ascii="仿宋" w:hAnsi="仿宋" w:eastAsia="仿宋" w:cs="宋体"/>
          <w:kern w:val="0"/>
          <w:szCs w:val="21"/>
        </w:rPr>
        <w:t>仓储、养护和运输条件符合《药品生产质量管理规范》的相关规定，保障中药原料质量。</w:t>
      </w:r>
    </w:p>
    <w:p>
      <w:pPr>
        <w:spacing w:line="360" w:lineRule="auto"/>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投标人应通过完备的信息管理系统建立中药原料质量保障体系（如有），提供的全程质量控制管理方案；可通过现代化技术确保中药原料质量的能力和药品质量追溯能力，具备原料信息追溯体系，能提供产品溯源信息。</w:t>
      </w:r>
    </w:p>
    <w:p>
      <w:pPr>
        <w:spacing w:line="360" w:lineRule="auto"/>
        <w:rPr>
          <w:rFonts w:ascii="仿宋" w:hAnsi="仿宋" w:eastAsia="仿宋" w:cs="宋体"/>
          <w:szCs w:val="21"/>
        </w:rPr>
      </w:pPr>
      <w:r>
        <w:rPr>
          <w:rFonts w:hint="eastAsia" w:ascii="仿宋" w:hAnsi="仿宋" w:eastAsia="仿宋" w:cs="宋体"/>
          <w:szCs w:val="21"/>
        </w:rPr>
        <w:t>4、投标人具有《药品经营质量管理规范》认证证书复印件或GMP符合性检查证明性文件。</w:t>
      </w:r>
    </w:p>
    <w:p>
      <w:pPr>
        <w:widowControl/>
        <w:shd w:val="clear" w:color="auto" w:fill="FFFFFF"/>
        <w:adjustRightInd w:val="0"/>
        <w:spacing w:line="360" w:lineRule="auto"/>
        <w:jc w:val="left"/>
        <w:rPr>
          <w:rFonts w:ascii="仿宋" w:hAnsi="仿宋" w:eastAsia="仿宋" w:cs="宋体"/>
          <w:szCs w:val="21"/>
        </w:rPr>
      </w:pPr>
      <w:r>
        <w:rPr>
          <w:rFonts w:hint="eastAsia" w:ascii="仿宋" w:hAnsi="仿宋" w:eastAsia="仿宋" w:cs="宋体"/>
          <w:szCs w:val="21"/>
        </w:rPr>
        <w:t>5、具备不同药材净制、切制、炒制、炙制、制炭、煅制、蒸制、煮制、炖制、煨制、水飞、发酵的炮制工艺。</w:t>
      </w:r>
    </w:p>
    <w:p>
      <w:pPr>
        <w:widowControl/>
        <w:shd w:val="clear" w:color="auto" w:fill="FFFFFF"/>
        <w:adjustRightInd w:val="0"/>
        <w:spacing w:line="360" w:lineRule="auto"/>
        <w:jc w:val="left"/>
        <w:rPr>
          <w:rFonts w:ascii="仿宋" w:hAnsi="仿宋" w:eastAsia="仿宋" w:cs="宋体"/>
          <w:szCs w:val="21"/>
        </w:rPr>
      </w:pPr>
      <w:r>
        <w:rPr>
          <w:rFonts w:hint="eastAsia" w:ascii="仿宋" w:hAnsi="仿宋" w:eastAsia="仿宋" w:cs="宋体"/>
          <w:szCs w:val="21"/>
        </w:rPr>
        <w:t>6、投标人应具备标本室或留样室、质检室，质检设施等。（须附需提供相关证明文件的复印件加盖公章）</w:t>
      </w:r>
    </w:p>
    <w:p>
      <w:pPr>
        <w:widowControl/>
        <w:shd w:val="clear" w:color="auto" w:fill="FFFFFF"/>
        <w:adjustRightInd w:val="0"/>
        <w:spacing w:line="360" w:lineRule="auto"/>
        <w:jc w:val="left"/>
        <w:rPr>
          <w:rFonts w:ascii="仿宋" w:hAnsi="仿宋" w:eastAsia="仿宋" w:cs="宋体"/>
          <w:szCs w:val="21"/>
        </w:rPr>
      </w:pPr>
      <w:r>
        <w:rPr>
          <w:rFonts w:hint="eastAsia" w:ascii="仿宋" w:hAnsi="仿宋" w:eastAsia="仿宋" w:cs="宋体"/>
          <w:szCs w:val="21"/>
        </w:rPr>
        <w:t>7、投标人须提供生产设备情况及检测设备情况，要求生产设备能够与生产规模、能力和工艺相匹配；检测设备能够满足全项检验。</w:t>
      </w:r>
    </w:p>
    <w:p>
      <w:pPr>
        <w:widowControl/>
        <w:shd w:val="clear" w:color="auto" w:fill="FFFFFF"/>
        <w:adjustRightInd w:val="0"/>
        <w:spacing w:line="360" w:lineRule="auto"/>
        <w:jc w:val="left"/>
        <w:rPr>
          <w:rFonts w:ascii="仿宋" w:hAnsi="仿宋" w:eastAsia="仿宋" w:cs="宋体"/>
          <w:b/>
          <w:bCs/>
          <w:szCs w:val="21"/>
        </w:rPr>
      </w:pPr>
      <w:r>
        <w:rPr>
          <w:rFonts w:hint="eastAsia" w:ascii="仿宋" w:hAnsi="仿宋" w:eastAsia="仿宋" w:cs="宋体"/>
          <w:b/>
          <w:bCs/>
          <w:szCs w:val="21"/>
        </w:rPr>
        <w:t>（四）包装及配送要求</w:t>
      </w:r>
    </w:p>
    <w:p>
      <w:pPr>
        <w:widowControl/>
        <w:shd w:val="clear" w:color="auto" w:fill="FFFFFF"/>
        <w:adjustRightInd w:val="0"/>
        <w:spacing w:line="360" w:lineRule="auto"/>
        <w:jc w:val="left"/>
        <w:rPr>
          <w:rFonts w:ascii="仿宋" w:hAnsi="仿宋" w:eastAsia="仿宋" w:cs="宋体"/>
          <w:szCs w:val="21"/>
        </w:rPr>
      </w:pPr>
      <w:r>
        <w:rPr>
          <w:rFonts w:ascii="仿宋" w:hAnsi="仿宋" w:eastAsia="仿宋" w:cs="宋体"/>
          <w:szCs w:val="21"/>
        </w:rPr>
        <w:t>1</w:t>
      </w:r>
      <w:r>
        <w:rPr>
          <w:rFonts w:hint="eastAsia" w:ascii="仿宋" w:hAnsi="仿宋" w:eastAsia="仿宋" w:cs="宋体"/>
          <w:szCs w:val="21"/>
        </w:rPr>
        <w:t>、投标人应配备足够数量和足够品种的中药</w:t>
      </w:r>
      <w:r>
        <w:rPr>
          <w:rFonts w:ascii="仿宋" w:hAnsi="仿宋" w:eastAsia="仿宋" w:cs="宋体"/>
          <w:szCs w:val="21"/>
        </w:rPr>
        <w:t>原料</w:t>
      </w:r>
      <w:r>
        <w:rPr>
          <w:rFonts w:hint="eastAsia" w:ascii="仿宋" w:hAnsi="仿宋" w:eastAsia="仿宋" w:cs="宋体"/>
          <w:szCs w:val="21"/>
        </w:rPr>
        <w:t>，并且能满足采购人制剂室的需求，供货数量不应出现供应不足或缺药少药等现象。</w:t>
      </w:r>
    </w:p>
    <w:p>
      <w:pPr>
        <w:widowControl/>
        <w:shd w:val="clear" w:color="auto" w:fill="FFFFFF"/>
        <w:adjustRightInd w:val="0"/>
        <w:spacing w:line="360" w:lineRule="auto"/>
        <w:jc w:val="left"/>
        <w:rPr>
          <w:rFonts w:ascii="仿宋" w:hAnsi="仿宋" w:eastAsia="仿宋" w:cs="宋体"/>
          <w:szCs w:val="21"/>
        </w:rPr>
      </w:pPr>
      <w:r>
        <w:rPr>
          <w:rFonts w:ascii="仿宋" w:hAnsi="仿宋" w:eastAsia="仿宋" w:cs="宋体"/>
          <w:szCs w:val="21"/>
        </w:rPr>
        <w:t>2</w:t>
      </w:r>
      <w:r>
        <w:rPr>
          <w:rFonts w:hint="eastAsia" w:ascii="仿宋" w:hAnsi="仿宋" w:eastAsia="仿宋" w:cs="宋体"/>
          <w:szCs w:val="21"/>
        </w:rPr>
        <w:t>、应提供完整合理的配送方案，完全满足项目需求，按采购人下达配送计划，供货。</w:t>
      </w:r>
    </w:p>
    <w:p>
      <w:pPr>
        <w:widowControl/>
        <w:shd w:val="clear" w:color="auto" w:fill="FFFFFF"/>
        <w:adjustRightInd w:val="0"/>
        <w:spacing w:line="360" w:lineRule="auto"/>
        <w:jc w:val="left"/>
        <w:rPr>
          <w:rFonts w:ascii="仿宋" w:hAnsi="仿宋" w:eastAsia="仿宋" w:cs="宋体"/>
          <w:szCs w:val="21"/>
          <w:lang w:val="de-DE"/>
        </w:rPr>
      </w:pPr>
      <w:r>
        <w:rPr>
          <w:rFonts w:hint="eastAsia" w:ascii="仿宋" w:hAnsi="仿宋" w:eastAsia="仿宋" w:cs="宋体"/>
          <w:szCs w:val="21"/>
          <w:lang w:val="de-DE"/>
        </w:rPr>
        <w:t>3、产品包装箱按照投标人统一包装形式，</w:t>
      </w:r>
      <w:r>
        <w:rPr>
          <w:rFonts w:hint="eastAsia" w:ascii="仿宋" w:hAnsi="仿宋" w:eastAsia="仿宋" w:cs="宋体"/>
          <w:szCs w:val="21"/>
        </w:rPr>
        <w:t>即双层塑料袋严密包装，必要时加纸箱。</w:t>
      </w:r>
      <w:r>
        <w:rPr>
          <w:rFonts w:hint="eastAsia" w:ascii="仿宋" w:hAnsi="仿宋" w:eastAsia="仿宋" w:cs="宋体"/>
          <w:szCs w:val="21"/>
          <w:lang w:val="de-DE"/>
        </w:rPr>
        <w:t>单品种单次订单供货为同一批物料；包装应完好、清洁、无损，包装标签字迹清晰并标明：名称、规格数量、产地、追溯标识（如有）、产品批号、生产日期、有效期、依据标准、批准文号、生产企业、贮藏等，包装净重量与标示量相符，销售清单注明采购人名称。</w:t>
      </w:r>
    </w:p>
    <w:p>
      <w:pPr>
        <w:widowControl/>
        <w:shd w:val="clear" w:color="auto" w:fill="FFFFFF"/>
        <w:adjustRightInd w:val="0"/>
        <w:spacing w:line="360" w:lineRule="auto"/>
        <w:jc w:val="left"/>
        <w:rPr>
          <w:rFonts w:ascii="仿宋" w:hAnsi="仿宋" w:eastAsia="仿宋" w:cs="宋体"/>
          <w:szCs w:val="21"/>
          <w:lang w:val="de-DE"/>
        </w:rPr>
      </w:pPr>
      <w:r>
        <w:rPr>
          <w:rFonts w:hint="eastAsia" w:ascii="仿宋" w:hAnsi="仿宋" w:eastAsia="仿宋" w:cs="宋体"/>
          <w:szCs w:val="21"/>
          <w:lang w:val="de-DE"/>
        </w:rPr>
        <w:t>4、投标人未向采购人要求回收的空包装物或包装箱，采购人可自行处理或选择其他处理方式。</w:t>
      </w:r>
    </w:p>
    <w:p>
      <w:pPr>
        <w:widowControl/>
        <w:shd w:val="clear" w:color="auto" w:fill="FFFFFF"/>
        <w:adjustRightInd w:val="0"/>
        <w:spacing w:line="360" w:lineRule="auto"/>
        <w:jc w:val="left"/>
        <w:rPr>
          <w:rFonts w:ascii="仿宋" w:hAnsi="仿宋" w:eastAsia="仿宋" w:cs="宋体"/>
          <w:szCs w:val="21"/>
          <w:lang w:val="de-DE"/>
        </w:rPr>
      </w:pPr>
      <w:r>
        <w:rPr>
          <w:rFonts w:hint="eastAsia" w:ascii="仿宋" w:hAnsi="仿宋" w:eastAsia="仿宋" w:cs="宋体"/>
          <w:szCs w:val="21"/>
          <w:lang w:val="de-DE"/>
        </w:rPr>
        <w:t>5、包装必须适合长途运输，包装箱和包装物应完好无损，采购人有权拒收投标人的已损坏的包装箱和有磕碰、有锈蚀等质量问题的产品，并需告知投标人。</w:t>
      </w:r>
    </w:p>
    <w:p>
      <w:pPr>
        <w:widowControl/>
        <w:shd w:val="clear" w:color="auto" w:fill="FFFFFF"/>
        <w:adjustRightInd w:val="0"/>
        <w:spacing w:line="360" w:lineRule="auto"/>
        <w:jc w:val="left"/>
        <w:rPr>
          <w:rFonts w:ascii="仿宋" w:hAnsi="仿宋" w:eastAsia="仿宋" w:cs="宋体"/>
          <w:szCs w:val="21"/>
          <w:lang w:val="de-DE"/>
        </w:rPr>
      </w:pPr>
      <w:r>
        <w:rPr>
          <w:rFonts w:hint="eastAsia" w:ascii="仿宋" w:hAnsi="仿宋" w:eastAsia="仿宋" w:cs="宋体"/>
          <w:szCs w:val="21"/>
          <w:lang w:val="de-DE"/>
        </w:rPr>
        <w:t>6、运输、贮存原辅料，应当符合原辅料说明书和标签标示的要求；对温度、湿度等环境条件有特殊要求的，应当采取相应措施，保证原辅料的安全、有效。</w:t>
      </w:r>
    </w:p>
    <w:p>
      <w:pPr>
        <w:widowControl/>
        <w:shd w:val="clear" w:color="auto" w:fill="FFFFFF"/>
        <w:adjustRightInd w:val="0"/>
        <w:spacing w:line="360" w:lineRule="auto"/>
        <w:jc w:val="left"/>
        <w:rPr>
          <w:rFonts w:ascii="仿宋" w:hAnsi="仿宋" w:eastAsia="仿宋" w:cs="宋体"/>
          <w:szCs w:val="21"/>
          <w:lang w:val="de-DE"/>
        </w:rPr>
      </w:pPr>
      <w:r>
        <w:rPr>
          <w:rFonts w:hint="eastAsia" w:ascii="仿宋" w:hAnsi="仿宋" w:eastAsia="仿宋" w:cs="宋体"/>
          <w:szCs w:val="21"/>
          <w:lang w:val="de-DE"/>
        </w:rPr>
        <w:t>7、投标人针对急需供货、物流紧急问题保障、质量问题处理以及提前识别和预防可能发生的重大隐患事故、突发疫情、保障中药饮片安全和供应等因素等方面，</w:t>
      </w:r>
      <w:r>
        <w:rPr>
          <w:rFonts w:hint="eastAsia" w:ascii="仿宋" w:hAnsi="仿宋" w:eastAsia="仿宋"/>
          <w:kern w:val="0"/>
          <w:szCs w:val="21"/>
        </w:rPr>
        <w:t>有完善的应急预案。</w:t>
      </w:r>
    </w:p>
    <w:p>
      <w:pPr>
        <w:tabs>
          <w:tab w:val="left" w:pos="0"/>
        </w:tabs>
        <w:spacing w:line="360" w:lineRule="auto"/>
        <w:contextualSpacing/>
        <w:rPr>
          <w:rFonts w:ascii="仿宋" w:hAnsi="仿宋" w:eastAsia="仿宋" w:cs="宋体"/>
          <w:b/>
          <w:bCs/>
          <w:szCs w:val="21"/>
        </w:rPr>
      </w:pPr>
      <w:r>
        <w:rPr>
          <w:rFonts w:hint="eastAsia" w:ascii="仿宋" w:hAnsi="仿宋" w:eastAsia="仿宋" w:cs="宋体"/>
          <w:b/>
          <w:bCs/>
          <w:szCs w:val="21"/>
        </w:rPr>
        <w:t>（五）售后服务要求</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1、按照采购方指定地点及方式完成产品的运输、装卸，并协助接收人员放置入库。</w:t>
      </w:r>
    </w:p>
    <w:p>
      <w:pPr>
        <w:widowControl/>
        <w:spacing w:line="360" w:lineRule="auto"/>
        <w:jc w:val="left"/>
        <w:rPr>
          <w:rFonts w:ascii="仿宋" w:hAnsi="仿宋" w:eastAsia="仿宋" w:cs="宋体"/>
          <w:kern w:val="0"/>
          <w:szCs w:val="21"/>
        </w:rPr>
      </w:pPr>
      <w:r>
        <w:rPr>
          <w:rFonts w:hint="eastAsia" w:ascii="仿宋" w:hAnsi="仿宋" w:eastAsia="仿宋" w:cs="宋体"/>
          <w:kern w:val="0"/>
          <w:szCs w:val="21"/>
        </w:rPr>
        <w:t>2、对开箱时发现的破损、近效期产品或其他不合格包装产品及时更换。</w:t>
      </w:r>
    </w:p>
    <w:p>
      <w:pPr>
        <w:widowControl/>
        <w:spacing w:line="360" w:lineRule="auto"/>
        <w:jc w:val="left"/>
        <w:rPr>
          <w:rFonts w:ascii="仿宋" w:hAnsi="仿宋" w:eastAsia="仿宋"/>
          <w:b/>
          <w:szCs w:val="21"/>
        </w:rPr>
      </w:pPr>
      <w:r>
        <w:rPr>
          <w:rFonts w:hint="eastAsia" w:ascii="仿宋" w:hAnsi="仿宋" w:eastAsia="仿宋" w:cs="宋体"/>
          <w:kern w:val="0"/>
          <w:szCs w:val="21"/>
        </w:rPr>
        <w:t>3、如开箱时出现虫蛀、霉变、结串、走油、酸败、变色，吸潮等变质现象；碎颗粒及灰尘、杂质太多；发现掺伪、掺杂、以次充好等情况，应及时更换。</w:t>
      </w:r>
    </w:p>
    <w:p>
      <w:pPr>
        <w:spacing w:line="360" w:lineRule="auto"/>
        <w:rPr>
          <w:rFonts w:ascii="仿宋" w:hAnsi="仿宋" w:eastAsia="仿宋"/>
          <w:sz w:val="24"/>
        </w:rPr>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bookmarkStart w:id="1" w:name="_GoBack"/>
      <w:bookmarkEnd w:id="1"/>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43</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43</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52</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ind w:left="20"/>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ind w:left="20"/>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4B7E2B6C"/>
    <w:rsid w:val="552754E7"/>
    <w:rsid w:val="5D9D153B"/>
    <w:rsid w:val="5E634173"/>
    <w:rsid w:val="6DA01CBF"/>
    <w:rsid w:val="774638A7"/>
    <w:rsid w:val="79874E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page number"/>
    <w:qFormat/>
    <w:uiPriority w:val="0"/>
  </w:style>
  <w:style w:type="character" w:styleId="15">
    <w:name w:val="annotation reference"/>
    <w:qFormat/>
    <w:uiPriority w:val="99"/>
    <w:rPr>
      <w:sz w:val="21"/>
      <w:szCs w:val="21"/>
    </w:rPr>
  </w:style>
  <w:style w:type="paragraph" w:customStyle="1" w:styleId="16">
    <w:name w:val="SOW正文"/>
    <w:basedOn w:val="1"/>
    <w:qFormat/>
    <w:uiPriority w:val="0"/>
    <w:pPr>
      <w:snapToGrid w:val="0"/>
      <w:spacing w:before="120" w:line="400" w:lineRule="exact"/>
      <w:ind w:firstLine="425"/>
    </w:pPr>
    <w:rPr>
      <w:rFonts w:ascii="Times New Roman" w:hAnsi="Times New Roman"/>
      <w:sz w:val="24"/>
      <w:szCs w:val="20"/>
    </w:rPr>
  </w:style>
  <w:style w:type="paragraph" w:styleId="17">
    <w:name w:val="List Paragraph"/>
    <w:basedOn w:val="1"/>
    <w:qFormat/>
    <w:uiPriority w:val="34"/>
    <w:pPr>
      <w:ind w:firstLine="420" w:firstLineChars="200"/>
    </w:pPr>
    <w:rPr>
      <w:rFonts w:cs="Times New Roman"/>
      <w:szCs w:val="22"/>
    </w:rPr>
  </w:style>
  <w:style w:type="character" w:customStyle="1" w:styleId="18">
    <w:name w:val="font11"/>
    <w:basedOn w:val="13"/>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2024-11-15T04:48:03Z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