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2"/>
          <w:szCs w:val="40"/>
          <w:lang w:val="en-US" w:eastAsia="zh-CN"/>
        </w:rPr>
      </w:pPr>
      <w:bookmarkStart w:id="6" w:name="_GoBack"/>
      <w:r>
        <w:rPr>
          <w:rFonts w:hint="eastAsia"/>
          <w:b/>
          <w:bCs/>
          <w:sz w:val="32"/>
          <w:szCs w:val="40"/>
          <w:lang w:val="en-US" w:eastAsia="zh-CN"/>
        </w:rPr>
        <w:t>研究型病房临床科研一体化平台项目</w:t>
      </w:r>
      <w:bookmarkEnd w:id="6"/>
      <w:r>
        <w:rPr>
          <w:rFonts w:hint="eastAsia"/>
          <w:b/>
          <w:bCs/>
          <w:sz w:val="32"/>
          <w:szCs w:val="40"/>
          <w:lang w:val="en-US" w:eastAsia="zh-CN"/>
        </w:rPr>
        <w:t>采购需求</w:t>
      </w:r>
    </w:p>
    <w:p>
      <w:pPr>
        <w:pStyle w:val="17"/>
        <w:snapToGrid/>
        <w:spacing w:before="0" w:line="360" w:lineRule="auto"/>
        <w:ind w:firstLine="0"/>
        <w:contextualSpacing/>
        <w:rPr>
          <w:rFonts w:hint="eastAsia"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7"/>
        <w:tabs>
          <w:tab w:val="left" w:pos="7980"/>
        </w:tabs>
        <w:snapToGrid/>
        <w:spacing w:before="0" w:line="360" w:lineRule="auto"/>
        <w:ind w:firstLine="0"/>
        <w:contextualSpacing/>
        <w:rPr>
          <w:rFonts w:hint="eastAsia"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line="360" w:lineRule="auto"/>
        <w:ind w:firstLine="480" w:firstLineChars="200"/>
        <w:contextualSpacing/>
        <w:rPr>
          <w:rFonts w:hint="eastAsia" w:ascii="仿宋" w:hAnsi="仿宋" w:eastAsia="仿宋"/>
          <w:sz w:val="24"/>
        </w:rPr>
      </w:pPr>
      <w:r>
        <w:rPr>
          <w:rFonts w:hint="eastAsia" w:ascii="仿宋" w:hAnsi="仿宋" w:eastAsia="仿宋"/>
          <w:sz w:val="24"/>
        </w:rPr>
        <w:t>本次招标采购是为首都儿科研究所附属儿童医院提供研究型病房临床科研一体化平台，投标人应根据招标文件所提出的技术规格和服务要求以先进的技术、优良的服务和优惠的价格，充分显示自己的竞争实力。</w:t>
      </w:r>
    </w:p>
    <w:p>
      <w:pPr>
        <w:pStyle w:val="17"/>
        <w:snapToGrid/>
        <w:spacing w:before="0" w:line="360" w:lineRule="auto"/>
        <w:ind w:firstLine="0"/>
        <w:contextualSpacing/>
        <w:rPr>
          <w:rFonts w:hint="eastAsia"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line="360" w:lineRule="auto"/>
        <w:contextualSpacing/>
        <w:rPr>
          <w:rFonts w:hint="eastAsia" w:ascii="仿宋" w:hAnsi="仿宋" w:eastAsia="仿宋"/>
          <w:sz w:val="24"/>
        </w:rPr>
      </w:pPr>
      <w:r>
        <w:rPr>
          <w:rFonts w:ascii="仿宋" w:hAnsi="仿宋" w:eastAsia="仿宋"/>
          <w:sz w:val="24"/>
        </w:rPr>
        <w:t>促进</w:t>
      </w:r>
      <w:r>
        <w:rPr>
          <w:rFonts w:hint="eastAsia" w:ascii="仿宋" w:hAnsi="仿宋" w:eastAsia="仿宋"/>
          <w:sz w:val="24"/>
        </w:rPr>
        <w:t>中小</w:t>
      </w:r>
      <w:r>
        <w:rPr>
          <w:rFonts w:ascii="仿宋" w:hAnsi="仿宋" w:eastAsia="仿宋"/>
          <w:sz w:val="24"/>
        </w:rPr>
        <w:t>企业发展政策：</w:t>
      </w:r>
      <w:r>
        <w:rPr>
          <w:rFonts w:hint="eastAsia" w:ascii="仿宋" w:hAnsi="仿宋" w:eastAsia="仿宋"/>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7"/>
        <w:numPr>
          <w:ilvl w:val="0"/>
          <w:numId w:val="1"/>
        </w:numPr>
        <w:snapToGrid/>
        <w:spacing w:before="0" w:line="360" w:lineRule="auto"/>
        <w:contextualSpacing/>
        <w:rPr>
          <w:rFonts w:hint="eastAsia"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7"/>
        <w:numPr>
          <w:ilvl w:val="0"/>
          <w:numId w:val="1"/>
        </w:numPr>
        <w:snapToGrid/>
        <w:spacing w:before="0" w:line="360" w:lineRule="auto"/>
        <w:contextualSpacing/>
        <w:rPr>
          <w:rFonts w:hint="eastAsia"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line="360" w:lineRule="auto"/>
        <w:contextualSpacing/>
        <w:rPr>
          <w:rFonts w:hint="eastAsia"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line="360" w:lineRule="auto"/>
        <w:contextualSpacing/>
        <w:rPr>
          <w:rFonts w:hint="eastAsia"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7"/>
        <w:snapToGrid/>
        <w:spacing w:before="0" w:line="360" w:lineRule="auto"/>
        <w:ind w:firstLine="0"/>
        <w:contextualSpacing/>
        <w:rPr>
          <w:rFonts w:hint="eastAsia"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contextualSpacing/>
        <w:rPr>
          <w:rFonts w:hint="eastAsia" w:ascii="仿宋" w:hAnsi="仿宋" w:eastAsia="仿宋"/>
          <w:bCs/>
          <w:sz w:val="24"/>
        </w:rPr>
      </w:pPr>
      <w:r>
        <w:rPr>
          <w:rFonts w:hint="eastAsia" w:ascii="仿宋" w:hAnsi="仿宋" w:eastAsia="仿宋"/>
          <w:kern w:val="0"/>
          <w:sz w:val="24"/>
        </w:rPr>
        <w:t>详见下文。</w:t>
      </w:r>
    </w:p>
    <w:p>
      <w:pPr>
        <w:pStyle w:val="17"/>
        <w:snapToGrid/>
        <w:spacing w:before="0" w:line="360" w:lineRule="auto"/>
        <w:ind w:firstLine="0"/>
        <w:contextualSpacing/>
        <w:rPr>
          <w:rFonts w:hint="eastAsia" w:ascii="仿宋" w:hAnsi="仿宋" w:eastAsia="仿宋"/>
          <w:b/>
          <w:szCs w:val="24"/>
        </w:rPr>
      </w:pPr>
      <w:r>
        <w:rPr>
          <w:rFonts w:hint="eastAsia" w:ascii="仿宋" w:hAnsi="仿宋" w:eastAsia="仿宋"/>
          <w:b/>
          <w:szCs w:val="24"/>
        </w:rPr>
        <w:t>三、采购标的的数量、采购项目交付或者实施的时间和地点</w:t>
      </w:r>
    </w:p>
    <w:p>
      <w:pPr>
        <w:pStyle w:val="17"/>
        <w:snapToGrid/>
        <w:spacing w:before="0" w:line="360" w:lineRule="auto"/>
        <w:ind w:left="-208" w:firstLine="0"/>
        <w:contextualSpacing/>
        <w:rPr>
          <w:rFonts w:hint="eastAsia" w:ascii="仿宋" w:hAnsi="仿宋" w:eastAsia="仿宋"/>
          <w:b/>
          <w:szCs w:val="24"/>
        </w:rPr>
      </w:pPr>
      <w:r>
        <w:rPr>
          <w:rFonts w:hint="eastAsia" w:ascii="仿宋" w:hAnsi="仿宋" w:eastAsia="仿宋"/>
          <w:b/>
          <w:szCs w:val="24"/>
        </w:rPr>
        <w:t>（一）采购标的的数量</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191"/>
        <w:gridCol w:w="98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05" w:type="pct"/>
            <w:shd w:val="clear" w:color="auto" w:fill="auto"/>
            <w:vAlign w:val="center"/>
          </w:tcPr>
          <w:p>
            <w:pPr>
              <w:widowControl/>
              <w:spacing w:line="360" w:lineRule="auto"/>
              <w:contextualSpacing/>
              <w:jc w:val="center"/>
              <w:rPr>
                <w:rFonts w:hint="eastAsia" w:ascii="仿宋" w:hAnsi="仿宋" w:eastAsia="仿宋" w:cs="宋体"/>
                <w:kern w:val="0"/>
                <w:sz w:val="24"/>
              </w:rPr>
            </w:pPr>
            <w:r>
              <w:rPr>
                <w:rFonts w:hint="eastAsia" w:ascii="仿宋" w:hAnsi="仿宋" w:eastAsia="仿宋" w:cs="宋体"/>
                <w:kern w:val="0"/>
                <w:sz w:val="24"/>
              </w:rPr>
              <w:t>包号</w:t>
            </w:r>
          </w:p>
        </w:tc>
        <w:tc>
          <w:tcPr>
            <w:tcW w:w="2459" w:type="pct"/>
            <w:shd w:val="clear" w:color="auto" w:fill="auto"/>
            <w:vAlign w:val="center"/>
          </w:tcPr>
          <w:p>
            <w:pPr>
              <w:widowControl/>
              <w:spacing w:line="360" w:lineRule="auto"/>
              <w:contextualSpacing/>
              <w:jc w:val="center"/>
              <w:rPr>
                <w:rFonts w:hint="eastAsia" w:ascii="仿宋" w:hAnsi="仿宋" w:eastAsia="仿宋" w:cs="宋体"/>
                <w:kern w:val="0"/>
                <w:sz w:val="24"/>
              </w:rPr>
            </w:pPr>
            <w:r>
              <w:rPr>
                <w:rFonts w:hint="eastAsia" w:ascii="仿宋" w:hAnsi="仿宋" w:eastAsia="仿宋" w:cs="宋体"/>
                <w:kern w:val="0"/>
                <w:sz w:val="24"/>
              </w:rPr>
              <w:t>标的名称</w:t>
            </w:r>
          </w:p>
        </w:tc>
        <w:tc>
          <w:tcPr>
            <w:tcW w:w="576" w:type="pct"/>
            <w:vAlign w:val="center"/>
          </w:tcPr>
          <w:p>
            <w:pPr>
              <w:widowControl/>
              <w:spacing w:line="360" w:lineRule="auto"/>
              <w:contextualSpacing/>
              <w:jc w:val="center"/>
              <w:rPr>
                <w:rFonts w:hint="eastAsia" w:ascii="仿宋" w:hAnsi="仿宋" w:eastAsia="仿宋" w:cs="宋体"/>
                <w:kern w:val="0"/>
                <w:sz w:val="24"/>
              </w:rPr>
            </w:pPr>
            <w:r>
              <w:rPr>
                <w:rFonts w:hint="eastAsia" w:ascii="仿宋" w:hAnsi="仿宋" w:eastAsia="仿宋" w:cs="宋体"/>
                <w:kern w:val="0"/>
                <w:sz w:val="24"/>
              </w:rPr>
              <w:t>数量</w:t>
            </w:r>
          </w:p>
        </w:tc>
        <w:tc>
          <w:tcPr>
            <w:tcW w:w="1360" w:type="pct"/>
            <w:vAlign w:val="center"/>
          </w:tcPr>
          <w:p>
            <w:pPr>
              <w:widowControl/>
              <w:spacing w:line="360" w:lineRule="auto"/>
              <w:contextualSpacing/>
              <w:jc w:val="center"/>
              <w:rPr>
                <w:rFonts w:hint="eastAsia"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spacing w:line="360" w:lineRule="auto"/>
              <w:contextualSpacing/>
              <w:jc w:val="center"/>
              <w:rPr>
                <w:rFonts w:hint="eastAsia" w:ascii="仿宋" w:hAnsi="仿宋" w:eastAsia="仿宋"/>
                <w:sz w:val="24"/>
              </w:rPr>
            </w:pPr>
            <w:r>
              <w:rPr>
                <w:rFonts w:hint="eastAsia" w:ascii="仿宋" w:hAnsi="仿宋" w:eastAsia="仿宋"/>
                <w:sz w:val="24"/>
              </w:rPr>
              <w:t>1</w:t>
            </w:r>
          </w:p>
        </w:tc>
        <w:tc>
          <w:tcPr>
            <w:tcW w:w="2459" w:type="pct"/>
            <w:shd w:val="clear" w:color="auto" w:fill="auto"/>
            <w:vAlign w:val="center"/>
          </w:tcPr>
          <w:p>
            <w:pPr>
              <w:spacing w:line="360" w:lineRule="auto"/>
              <w:contextualSpacing/>
              <w:jc w:val="center"/>
              <w:rPr>
                <w:rFonts w:hint="eastAsia" w:ascii="仿宋" w:hAnsi="仿宋" w:eastAsia="仿宋"/>
                <w:sz w:val="24"/>
              </w:rPr>
            </w:pPr>
            <w:r>
              <w:rPr>
                <w:rFonts w:hint="eastAsia" w:ascii="仿宋" w:hAnsi="仿宋" w:eastAsia="仿宋"/>
                <w:sz w:val="24"/>
              </w:rPr>
              <w:t>研究型病房临床科研一体化平台</w:t>
            </w:r>
          </w:p>
        </w:tc>
        <w:tc>
          <w:tcPr>
            <w:tcW w:w="576" w:type="pct"/>
            <w:noWrap/>
            <w:vAlign w:val="center"/>
          </w:tcPr>
          <w:p>
            <w:pPr>
              <w:widowControl/>
              <w:spacing w:line="360" w:lineRule="auto"/>
              <w:contextualSpacing/>
              <w:jc w:val="center"/>
              <w:rPr>
                <w:rFonts w:hint="eastAsia" w:ascii="仿宋" w:hAnsi="仿宋" w:eastAsia="仿宋"/>
                <w:sz w:val="24"/>
              </w:rPr>
            </w:pPr>
            <w:r>
              <w:rPr>
                <w:rFonts w:hint="eastAsia" w:ascii="仿宋" w:hAnsi="仿宋" w:eastAsia="仿宋"/>
                <w:sz w:val="24"/>
              </w:rPr>
              <w:t>1项</w:t>
            </w:r>
          </w:p>
        </w:tc>
        <w:tc>
          <w:tcPr>
            <w:tcW w:w="1360" w:type="pct"/>
            <w:vAlign w:val="center"/>
          </w:tcPr>
          <w:p>
            <w:pPr>
              <w:widowControl/>
              <w:spacing w:line="360" w:lineRule="auto"/>
              <w:contextualSpacing/>
              <w:jc w:val="center"/>
              <w:rPr>
                <w:rFonts w:hint="eastAsia" w:ascii="仿宋" w:hAnsi="仿宋" w:eastAsia="仿宋"/>
                <w:sz w:val="24"/>
              </w:rPr>
            </w:pPr>
            <w:r>
              <w:rPr>
                <w:rFonts w:hint="eastAsia" w:ascii="仿宋" w:hAnsi="仿宋" w:eastAsia="仿宋"/>
                <w:sz w:val="24"/>
              </w:rPr>
              <w:t>否</w:t>
            </w:r>
          </w:p>
        </w:tc>
      </w:tr>
    </w:tbl>
    <w:p>
      <w:pPr>
        <w:pStyle w:val="17"/>
        <w:snapToGrid/>
        <w:spacing w:before="0" w:line="360" w:lineRule="auto"/>
        <w:ind w:left="-208" w:firstLine="0"/>
        <w:contextualSpacing/>
        <w:rPr>
          <w:rFonts w:hint="eastAsia" w:ascii="仿宋" w:hAnsi="仿宋" w:eastAsia="仿宋"/>
          <w:b/>
          <w:szCs w:val="24"/>
        </w:rPr>
      </w:pPr>
      <w:r>
        <w:rPr>
          <w:rFonts w:hint="eastAsia" w:ascii="仿宋" w:hAnsi="仿宋" w:eastAsia="仿宋"/>
          <w:b/>
          <w:szCs w:val="24"/>
        </w:rPr>
        <w:t>具体明细：</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095"/>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b/>
                <w:color w:val="000000"/>
                <w:kern w:val="0"/>
                <w:sz w:val="24"/>
              </w:rPr>
            </w:pPr>
            <w:r>
              <w:rPr>
                <w:rFonts w:ascii="仿宋" w:hAnsi="仿宋" w:eastAsia="仿宋"/>
                <w:b/>
                <w:color w:val="000000"/>
                <w:kern w:val="0"/>
                <w:sz w:val="24"/>
              </w:rPr>
              <w:t>序号</w:t>
            </w:r>
          </w:p>
        </w:tc>
        <w:tc>
          <w:tcPr>
            <w:tcW w:w="357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b/>
                <w:color w:val="000000"/>
                <w:kern w:val="0"/>
                <w:sz w:val="24"/>
              </w:rPr>
            </w:pPr>
            <w:r>
              <w:rPr>
                <w:rFonts w:ascii="仿宋" w:hAnsi="仿宋" w:eastAsia="仿宋"/>
                <w:b/>
                <w:color w:val="000000"/>
                <w:kern w:val="0"/>
                <w:sz w:val="24"/>
              </w:rPr>
              <w:t>名称</w:t>
            </w:r>
          </w:p>
        </w:tc>
        <w:tc>
          <w:tcPr>
            <w:tcW w:w="86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b/>
                <w:color w:val="000000"/>
                <w:kern w:val="0"/>
                <w:sz w:val="24"/>
              </w:rPr>
            </w:pPr>
            <w:r>
              <w:rPr>
                <w:rFonts w:ascii="仿宋" w:hAnsi="仿宋" w:eastAsia="仿宋"/>
                <w:b/>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1</w:t>
            </w:r>
          </w:p>
        </w:tc>
        <w:tc>
          <w:tcPr>
            <w:tcW w:w="357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olor w:val="000000"/>
                <w:sz w:val="24"/>
              </w:rPr>
            </w:pPr>
            <w:r>
              <w:rPr>
                <w:rFonts w:ascii="仿宋" w:hAnsi="仿宋" w:eastAsia="仿宋"/>
                <w:color w:val="000000"/>
                <w:sz w:val="24"/>
              </w:rPr>
              <w:t>临床科研立项</w:t>
            </w:r>
            <w:r>
              <w:rPr>
                <w:rFonts w:hint="eastAsia" w:ascii="仿宋" w:hAnsi="仿宋" w:eastAsia="仿宋"/>
                <w:color w:val="000000"/>
                <w:sz w:val="24"/>
              </w:rPr>
              <w:t>管理系统</w:t>
            </w:r>
          </w:p>
        </w:tc>
        <w:tc>
          <w:tcPr>
            <w:tcW w:w="86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2</w:t>
            </w:r>
          </w:p>
        </w:tc>
        <w:tc>
          <w:tcPr>
            <w:tcW w:w="3575"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rPr>
            </w:pPr>
            <w:r>
              <w:rPr>
                <w:rFonts w:ascii="仿宋" w:hAnsi="仿宋" w:eastAsia="仿宋"/>
                <w:color w:val="000000"/>
                <w:sz w:val="24"/>
              </w:rPr>
              <w:t>临床</w:t>
            </w:r>
            <w:r>
              <w:rPr>
                <w:rFonts w:hint="eastAsia" w:ascii="仿宋" w:hAnsi="仿宋" w:eastAsia="仿宋"/>
                <w:color w:val="000000"/>
                <w:sz w:val="24"/>
              </w:rPr>
              <w:t>科研数据采集及管理系统</w:t>
            </w:r>
          </w:p>
        </w:tc>
        <w:tc>
          <w:tcPr>
            <w:tcW w:w="86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3</w:t>
            </w:r>
          </w:p>
        </w:tc>
        <w:tc>
          <w:tcPr>
            <w:tcW w:w="357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olor w:val="000000"/>
                <w:sz w:val="24"/>
              </w:rPr>
            </w:pPr>
            <w:r>
              <w:rPr>
                <w:rFonts w:ascii="仿宋" w:hAnsi="仿宋" w:eastAsia="仿宋"/>
                <w:color w:val="000000"/>
                <w:sz w:val="24"/>
              </w:rPr>
              <w:t>临床研究项目实施管理系统</w:t>
            </w:r>
          </w:p>
        </w:tc>
        <w:tc>
          <w:tcPr>
            <w:tcW w:w="86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63" w:type="pct"/>
            <w:tcBorders>
              <w:left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4</w:t>
            </w:r>
          </w:p>
        </w:tc>
        <w:tc>
          <w:tcPr>
            <w:tcW w:w="3575" w:type="pct"/>
            <w:tcBorders>
              <w:left w:val="single" w:color="auto" w:sz="4" w:space="0"/>
              <w:right w:val="single" w:color="auto" w:sz="4" w:space="0"/>
            </w:tcBorders>
            <w:vAlign w:val="center"/>
          </w:tcPr>
          <w:p>
            <w:pPr>
              <w:widowControl/>
              <w:spacing w:line="360" w:lineRule="auto"/>
              <w:jc w:val="left"/>
              <w:rPr>
                <w:rFonts w:hint="eastAsia" w:ascii="仿宋" w:hAnsi="仿宋" w:eastAsia="仿宋"/>
                <w:color w:val="000000"/>
                <w:sz w:val="24"/>
              </w:rPr>
            </w:pPr>
            <w:r>
              <w:rPr>
                <w:rFonts w:ascii="仿宋" w:hAnsi="仿宋" w:eastAsia="仿宋"/>
                <w:color w:val="000000"/>
                <w:sz w:val="24"/>
              </w:rPr>
              <w:t>研究型病房管理系统</w:t>
            </w:r>
          </w:p>
        </w:tc>
        <w:tc>
          <w:tcPr>
            <w:tcW w:w="86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63" w:type="pct"/>
            <w:tcBorders>
              <w:left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5</w:t>
            </w:r>
          </w:p>
        </w:tc>
        <w:tc>
          <w:tcPr>
            <w:tcW w:w="3575" w:type="pct"/>
            <w:tcBorders>
              <w:left w:val="single" w:color="auto" w:sz="4" w:space="0"/>
              <w:right w:val="single" w:color="auto" w:sz="4" w:space="0"/>
            </w:tcBorders>
            <w:vAlign w:val="center"/>
          </w:tcPr>
          <w:p>
            <w:pPr>
              <w:widowControl/>
              <w:spacing w:line="360" w:lineRule="auto"/>
              <w:jc w:val="left"/>
              <w:rPr>
                <w:rFonts w:hint="eastAsia" w:ascii="仿宋" w:hAnsi="仿宋" w:eastAsia="仿宋"/>
                <w:color w:val="000000"/>
                <w:sz w:val="24"/>
              </w:rPr>
            </w:pPr>
            <w:r>
              <w:rPr>
                <w:rFonts w:ascii="仿宋" w:hAnsi="仿宋" w:eastAsia="仿宋"/>
                <w:color w:val="000000"/>
                <w:sz w:val="24"/>
              </w:rPr>
              <w:t>临床研究中心用户管理系统</w:t>
            </w:r>
          </w:p>
        </w:tc>
        <w:tc>
          <w:tcPr>
            <w:tcW w:w="86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63" w:type="pct"/>
            <w:tcBorders>
              <w:left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6</w:t>
            </w:r>
          </w:p>
        </w:tc>
        <w:tc>
          <w:tcPr>
            <w:tcW w:w="3575" w:type="pct"/>
            <w:tcBorders>
              <w:left w:val="single" w:color="auto" w:sz="4" w:space="0"/>
              <w:right w:val="single" w:color="auto" w:sz="4" w:space="0"/>
            </w:tcBorders>
            <w:vAlign w:val="center"/>
          </w:tcPr>
          <w:p>
            <w:pPr>
              <w:widowControl/>
              <w:spacing w:line="360" w:lineRule="auto"/>
              <w:jc w:val="left"/>
              <w:rPr>
                <w:rFonts w:hint="eastAsia" w:ascii="仿宋" w:hAnsi="仿宋" w:eastAsia="仿宋"/>
                <w:color w:val="000000"/>
                <w:sz w:val="24"/>
              </w:rPr>
            </w:pPr>
            <w:r>
              <w:rPr>
                <w:rFonts w:ascii="仿宋" w:hAnsi="仿宋" w:eastAsia="仿宋"/>
                <w:color w:val="000000"/>
                <w:sz w:val="24"/>
              </w:rPr>
              <w:t>临床研究信息集成平台</w:t>
            </w:r>
          </w:p>
        </w:tc>
        <w:tc>
          <w:tcPr>
            <w:tcW w:w="86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ascii="仿宋" w:hAnsi="仿宋" w:eastAsia="仿宋"/>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63" w:type="pct"/>
            <w:tcBorders>
              <w:left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hint="eastAsia" w:ascii="仿宋" w:hAnsi="仿宋" w:eastAsia="仿宋"/>
                <w:color w:val="000000"/>
                <w:kern w:val="0"/>
                <w:sz w:val="24"/>
              </w:rPr>
              <w:t>7</w:t>
            </w:r>
          </w:p>
        </w:tc>
        <w:tc>
          <w:tcPr>
            <w:tcW w:w="3575" w:type="pct"/>
            <w:tcBorders>
              <w:left w:val="single" w:color="auto" w:sz="4" w:space="0"/>
              <w:right w:val="single" w:color="auto" w:sz="4" w:space="0"/>
            </w:tcBorders>
            <w:vAlign w:val="center"/>
          </w:tcPr>
          <w:p>
            <w:pPr>
              <w:widowControl/>
              <w:spacing w:line="360" w:lineRule="auto"/>
              <w:jc w:val="left"/>
              <w:rPr>
                <w:rFonts w:hint="eastAsia" w:ascii="仿宋" w:hAnsi="仿宋" w:eastAsia="仿宋"/>
                <w:color w:val="000000"/>
                <w:sz w:val="24"/>
              </w:rPr>
            </w:pPr>
            <w:r>
              <w:rPr>
                <w:rFonts w:hint="eastAsia" w:ascii="仿宋" w:hAnsi="仿宋" w:eastAsia="仿宋"/>
                <w:color w:val="000000"/>
                <w:sz w:val="24"/>
              </w:rPr>
              <w:t>第三方接口改造</w:t>
            </w:r>
          </w:p>
        </w:tc>
        <w:tc>
          <w:tcPr>
            <w:tcW w:w="86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hint="eastAsia" w:ascii="仿宋" w:hAnsi="仿宋" w:eastAsia="仿宋"/>
                <w:color w:val="000000"/>
                <w:kern w:val="0"/>
                <w:sz w:val="24"/>
              </w:rPr>
              <w:t>1项</w:t>
            </w:r>
          </w:p>
        </w:tc>
      </w:tr>
    </w:tbl>
    <w:p>
      <w:pPr>
        <w:pStyle w:val="17"/>
        <w:snapToGrid/>
        <w:spacing w:before="0" w:line="360" w:lineRule="auto"/>
        <w:ind w:left="-208" w:firstLine="0"/>
        <w:contextualSpacing/>
        <w:rPr>
          <w:rFonts w:hint="eastAsia" w:ascii="仿宋" w:hAnsi="仿宋" w:eastAsia="仿宋"/>
          <w:b/>
          <w:szCs w:val="24"/>
        </w:rPr>
      </w:pPr>
      <w:r>
        <w:rPr>
          <w:rFonts w:hint="eastAsia" w:ascii="仿宋" w:hAnsi="仿宋" w:eastAsia="仿宋"/>
          <w:b/>
          <w:szCs w:val="24"/>
        </w:rPr>
        <w:t>（二）采购项目交付或者服务的时间和地点：</w:t>
      </w:r>
    </w:p>
    <w:p>
      <w:pPr>
        <w:tabs>
          <w:tab w:val="left" w:pos="900"/>
        </w:tabs>
        <w:spacing w:line="360" w:lineRule="auto"/>
        <w:contextualSpacing/>
        <w:rPr>
          <w:rFonts w:hint="eastAsia" w:ascii="仿宋" w:hAnsi="仿宋" w:eastAsia="仿宋"/>
          <w:sz w:val="24"/>
          <w:u w:val="single"/>
        </w:rPr>
      </w:pPr>
      <w:r>
        <w:rPr>
          <w:rFonts w:ascii="仿宋" w:hAnsi="仿宋" w:eastAsia="仿宋" w:cs="宋体"/>
          <w:sz w:val="24"/>
        </w:rPr>
        <w:t>1</w:t>
      </w:r>
      <w:r>
        <w:rPr>
          <w:rFonts w:hint="eastAsia" w:ascii="仿宋" w:hAnsi="仿宋" w:eastAsia="仿宋" w:cs="宋体"/>
          <w:sz w:val="24"/>
        </w:rPr>
        <w:t>、采购标的</w:t>
      </w:r>
      <w:r>
        <w:rPr>
          <w:rFonts w:hint="eastAsia" w:ascii="仿宋" w:hAnsi="仿宋" w:eastAsia="仿宋"/>
          <w:sz w:val="24"/>
        </w:rPr>
        <w:t>交付时间：</w:t>
      </w:r>
      <w:r>
        <w:rPr>
          <w:rFonts w:ascii="仿宋" w:hAnsi="仿宋" w:eastAsia="仿宋"/>
          <w:bCs/>
          <w:sz w:val="24"/>
        </w:rPr>
        <w:t>自合同签订之日起</w:t>
      </w:r>
      <w:r>
        <w:rPr>
          <w:rFonts w:hint="eastAsia" w:ascii="仿宋" w:hAnsi="仿宋" w:eastAsia="仿宋"/>
          <w:bCs/>
          <w:sz w:val="24"/>
        </w:rPr>
        <w:t>180</w:t>
      </w:r>
      <w:r>
        <w:rPr>
          <w:rFonts w:ascii="仿宋" w:hAnsi="仿宋" w:eastAsia="仿宋"/>
          <w:bCs/>
          <w:sz w:val="24"/>
        </w:rPr>
        <w:t>个工作日内完成</w:t>
      </w:r>
      <w:r>
        <w:rPr>
          <w:rFonts w:hint="eastAsia" w:ascii="仿宋" w:hAnsi="仿宋" w:eastAsia="仿宋"/>
          <w:sz w:val="24"/>
        </w:rPr>
        <w:t>。</w:t>
      </w:r>
    </w:p>
    <w:p>
      <w:pPr>
        <w:spacing w:line="360" w:lineRule="auto"/>
        <w:contextualSpacing/>
        <w:rPr>
          <w:rFonts w:hint="eastAsia" w:ascii="仿宋" w:hAnsi="仿宋" w:eastAsia="仿宋"/>
          <w:sz w:val="24"/>
          <w:u w:val="single"/>
        </w:rPr>
      </w:pPr>
      <w:r>
        <w:rPr>
          <w:rFonts w:hint="eastAsia" w:ascii="仿宋" w:hAnsi="仿宋" w:eastAsia="仿宋" w:cs="宋体"/>
          <w:sz w:val="24"/>
        </w:rPr>
        <w:t>2、采购标的交付地点：首都儿科研究所附属儿童医院指定地点。</w:t>
      </w:r>
    </w:p>
    <w:p>
      <w:pPr>
        <w:pStyle w:val="17"/>
        <w:snapToGrid/>
        <w:spacing w:before="0" w:line="360" w:lineRule="auto"/>
        <w:ind w:firstLine="0"/>
        <w:contextualSpacing/>
        <w:rPr>
          <w:rFonts w:hint="eastAsia"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line="360" w:lineRule="auto"/>
        <w:contextualSpacing/>
        <w:rPr>
          <w:rFonts w:hint="eastAsia"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7"/>
        <w:spacing w:line="360" w:lineRule="auto"/>
        <w:contextualSpacing/>
        <w:rPr>
          <w:rFonts w:ascii="仿宋" w:hAnsi="仿宋" w:eastAsia="仿宋"/>
          <w:bCs/>
          <w:sz w:val="24"/>
          <w:szCs w:val="24"/>
        </w:rPr>
      </w:pPr>
      <w:r>
        <w:rPr>
          <w:rFonts w:ascii="仿宋" w:hAnsi="仿宋" w:eastAsia="仿宋"/>
          <w:bCs/>
          <w:sz w:val="24"/>
          <w:szCs w:val="24"/>
        </w:rPr>
        <w:t>1.本项目要求自验收通过之日起提供一年的免费售后服务。</w:t>
      </w:r>
    </w:p>
    <w:p>
      <w:pPr>
        <w:pStyle w:val="7"/>
        <w:spacing w:line="360" w:lineRule="auto"/>
        <w:contextualSpacing/>
        <w:rPr>
          <w:rFonts w:ascii="仿宋" w:hAnsi="仿宋" w:eastAsia="仿宋"/>
          <w:bCs/>
          <w:sz w:val="24"/>
          <w:szCs w:val="24"/>
        </w:rPr>
      </w:pPr>
      <w:r>
        <w:rPr>
          <w:rFonts w:ascii="仿宋" w:hAnsi="仿宋" w:eastAsia="仿宋"/>
          <w:bCs/>
          <w:sz w:val="24"/>
          <w:szCs w:val="24"/>
        </w:rPr>
        <w:t>2.故障报修的响应时间：服务响应时间为全年7×24小时随时响应，对于必须派人现场解决的问题，保证在收到现场服务通知后，4小时内到达现场，24小时内解决故障。维保期内中标人提供免费的软件升级（包括bug修复、性能优化、及其它针对软件的标准升级功能等）。</w:t>
      </w:r>
    </w:p>
    <w:p>
      <w:pPr>
        <w:pStyle w:val="7"/>
        <w:spacing w:line="360" w:lineRule="auto"/>
        <w:contextualSpacing/>
        <w:rPr>
          <w:rFonts w:ascii="仿宋" w:hAnsi="仿宋" w:eastAsia="仿宋"/>
          <w:bCs/>
          <w:sz w:val="24"/>
          <w:szCs w:val="24"/>
        </w:rPr>
      </w:pPr>
      <w:r>
        <w:rPr>
          <w:rFonts w:ascii="仿宋" w:hAnsi="仿宋" w:eastAsia="仿宋"/>
          <w:bCs/>
          <w:sz w:val="24"/>
          <w:szCs w:val="24"/>
        </w:rPr>
        <w:t>3.免费维保期外中标人应提供系统和软件的终身维护。软件报价必须考虑免费维保期（一年）后的软件维护费，原则上每年的维护费不超过本次软件系统报价的10 %（不包括以后扩容、增加功能部分）。</w:t>
      </w:r>
    </w:p>
    <w:p>
      <w:pPr>
        <w:pStyle w:val="7"/>
        <w:spacing w:line="360" w:lineRule="auto"/>
        <w:contextualSpacing/>
        <w:rPr>
          <w:rFonts w:ascii="仿宋" w:hAnsi="仿宋" w:eastAsia="仿宋"/>
          <w:bCs/>
          <w:sz w:val="24"/>
          <w:szCs w:val="24"/>
        </w:rPr>
      </w:pPr>
      <w:r>
        <w:rPr>
          <w:rFonts w:ascii="仿宋" w:hAnsi="仿宋" w:eastAsia="仿宋"/>
          <w:bCs/>
          <w:sz w:val="24"/>
          <w:szCs w:val="24"/>
        </w:rPr>
        <w:t>4.软件升级：验收合格后一年内无条件免费升级为最新版本，一年后以最优惠条件提供升级。</w:t>
      </w:r>
    </w:p>
    <w:p>
      <w:pPr>
        <w:pStyle w:val="7"/>
        <w:spacing w:line="360" w:lineRule="auto"/>
        <w:contextualSpacing/>
        <w:rPr>
          <w:rFonts w:ascii="仿宋" w:hAnsi="仿宋" w:eastAsia="仿宋"/>
          <w:b/>
          <w:sz w:val="24"/>
          <w:szCs w:val="24"/>
        </w:rPr>
      </w:pPr>
      <w:r>
        <w:rPr>
          <w:rFonts w:ascii="仿宋" w:hAnsi="仿宋" w:eastAsia="仿宋"/>
          <w:bCs/>
          <w:sz w:val="24"/>
          <w:szCs w:val="24"/>
        </w:rPr>
        <w:t>5.其他：免费质保期内提供系统免费升级；提供系统使用说明，并制定培训计划，对所有系统使用者进行统一培训，组织专业考核。</w:t>
      </w:r>
    </w:p>
    <w:p>
      <w:pPr>
        <w:tabs>
          <w:tab w:val="left" w:pos="900"/>
        </w:tabs>
        <w:spacing w:line="360" w:lineRule="auto"/>
        <w:contextualSpacing/>
        <w:rPr>
          <w:rFonts w:hint="eastAsia"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Fonts w:hint="eastAsia" w:ascii="仿宋" w:hAnsi="仿宋" w:eastAsia="仿宋"/>
          <w:sz w:val="24"/>
        </w:rPr>
      </w:pPr>
      <w:r>
        <w:rPr>
          <w:rFonts w:hint="eastAsia" w:ascii="仿宋" w:hAnsi="仿宋" w:eastAsia="仿宋"/>
          <w:sz w:val="24"/>
        </w:rPr>
        <w:t>1.质保期：</w:t>
      </w:r>
      <w:r>
        <w:rPr>
          <w:rFonts w:hint="eastAsia" w:ascii="仿宋" w:hAnsi="仿宋" w:eastAsia="仿宋"/>
          <w:bCs/>
          <w:sz w:val="24"/>
        </w:rPr>
        <w:t>本项目要求自验收通过之日起提供一年的免费售后服务、</w:t>
      </w:r>
    </w:p>
    <w:p>
      <w:pPr>
        <w:pStyle w:val="17"/>
        <w:numPr>
          <w:ilvl w:val="0"/>
          <w:numId w:val="2"/>
        </w:numPr>
        <w:snapToGrid/>
        <w:spacing w:before="0" w:line="360" w:lineRule="auto"/>
        <w:contextualSpacing/>
        <w:rPr>
          <w:rFonts w:hint="eastAsia" w:ascii="仿宋" w:hAnsi="仿宋" w:eastAsia="仿宋"/>
          <w:b/>
          <w:szCs w:val="24"/>
        </w:rPr>
      </w:pPr>
      <w:r>
        <w:rPr>
          <w:rFonts w:hint="eastAsia" w:ascii="仿宋" w:hAnsi="仿宋" w:eastAsia="仿宋"/>
          <w:b/>
          <w:szCs w:val="24"/>
        </w:rPr>
        <w:t>采购标的物验收标准</w:t>
      </w:r>
    </w:p>
    <w:p>
      <w:pPr>
        <w:pStyle w:val="7"/>
        <w:spacing w:line="360" w:lineRule="auto"/>
        <w:contextualSpacing/>
        <w:rPr>
          <w:rFonts w:ascii="仿宋" w:hAnsi="仿宋" w:eastAsia="仿宋"/>
          <w:bCs/>
          <w:sz w:val="24"/>
          <w:szCs w:val="24"/>
        </w:rPr>
      </w:pPr>
      <w:r>
        <w:rPr>
          <w:rFonts w:ascii="仿宋" w:hAnsi="仿宋" w:eastAsia="仿宋"/>
          <w:bCs/>
          <w:sz w:val="24"/>
          <w:szCs w:val="24"/>
        </w:rPr>
        <w:t>1、验收标准：符合采购文件、项目合同中所规定的技术标准及服务标准。</w:t>
      </w:r>
    </w:p>
    <w:p>
      <w:pPr>
        <w:pStyle w:val="7"/>
        <w:spacing w:line="360" w:lineRule="auto"/>
        <w:contextualSpacing/>
        <w:rPr>
          <w:rFonts w:ascii="仿宋" w:hAnsi="仿宋" w:eastAsia="仿宋"/>
          <w:bCs/>
          <w:sz w:val="24"/>
          <w:szCs w:val="24"/>
        </w:rPr>
      </w:pPr>
      <w:r>
        <w:rPr>
          <w:rFonts w:ascii="仿宋" w:hAnsi="仿宋" w:eastAsia="仿宋"/>
          <w:bCs/>
          <w:sz w:val="24"/>
          <w:szCs w:val="24"/>
        </w:rPr>
        <w:t>2、验收流程：采购标的物各模块功能以投标人和采购人书面确认的《需求说明书》内容为基准，经业务使用科室确认和做完用户接受性测试（User Acceptance Test）确认并签字UAT报告后，在测试服务器上进行模拟项目试运行一周，系统如无异常，试运行结束时投标人可向采购人申请验收。采购人收到投标人申请后5个工作日内组织验收组进行验收，验收合格后采购人出具项目验收合格报告，项目合格后视为正式交付。</w:t>
      </w:r>
    </w:p>
    <w:p>
      <w:pPr>
        <w:pStyle w:val="7"/>
        <w:spacing w:line="360" w:lineRule="auto"/>
        <w:contextualSpacing/>
        <w:rPr>
          <w:rFonts w:ascii="仿宋" w:hAnsi="仿宋" w:eastAsia="仿宋"/>
          <w:bCs/>
          <w:sz w:val="24"/>
          <w:szCs w:val="24"/>
        </w:rPr>
      </w:pPr>
      <w:r>
        <w:rPr>
          <w:rFonts w:ascii="仿宋" w:hAnsi="仿宋" w:eastAsia="仿宋"/>
          <w:bCs/>
          <w:sz w:val="24"/>
          <w:szCs w:val="24"/>
        </w:rPr>
        <w:t>3、正式上线：项目验收后方可正式上线运行，若系统在上线运行期间出现故障或问题，投标人应及时处理，在双方约定好的时间内排除故障或解决问题，如不能按期完成并未能给出合理解释，投标人应承担由此而引起的项目迟延的后果。</w:t>
      </w:r>
    </w:p>
    <w:p>
      <w:pPr>
        <w:pStyle w:val="7"/>
        <w:spacing w:line="360" w:lineRule="auto"/>
        <w:contextualSpacing/>
        <w:rPr>
          <w:rFonts w:ascii="仿宋" w:hAnsi="仿宋" w:eastAsia="仿宋"/>
          <w:bCs/>
          <w:sz w:val="24"/>
          <w:szCs w:val="24"/>
        </w:rPr>
      </w:pPr>
      <w:r>
        <w:rPr>
          <w:rFonts w:ascii="仿宋" w:hAnsi="仿宋" w:eastAsia="仿宋"/>
          <w:bCs/>
          <w:sz w:val="24"/>
          <w:szCs w:val="24"/>
        </w:rPr>
        <w:t>4、系统上线前，投标人应对采购人的系统使用人员进行全面的培训，培训目标为教会采购人关键使用用户（Master User）能够独立、熟练地完成系统相关功能的操作和使用。</w:t>
      </w:r>
    </w:p>
    <w:p>
      <w:pPr>
        <w:tabs>
          <w:tab w:val="left" w:pos="900"/>
        </w:tabs>
        <w:spacing w:line="360" w:lineRule="auto"/>
        <w:contextualSpacing/>
        <w:rPr>
          <w:rFonts w:hint="eastAsia" w:ascii="仿宋" w:hAnsi="仿宋" w:eastAsia="仿宋"/>
          <w:b/>
          <w:sz w:val="24"/>
        </w:rPr>
      </w:pPr>
      <w:r>
        <w:rPr>
          <w:rFonts w:hint="eastAsia" w:ascii="仿宋" w:hAnsi="仿宋" w:eastAsia="仿宋"/>
          <w:b/>
          <w:sz w:val="24"/>
        </w:rPr>
        <w:t>六、采购标的的其他技术、服务等要求</w:t>
      </w:r>
    </w:p>
    <w:p>
      <w:pPr>
        <w:pStyle w:val="12"/>
        <w:rPr>
          <w:rFonts w:hint="eastAsia"/>
        </w:rPr>
      </w:pPr>
      <w:r>
        <w:rPr>
          <w:rFonts w:hint="eastAsia"/>
        </w:rPr>
        <w:t>1、</w:t>
      </w:r>
      <w:r>
        <w:rPr>
          <w:rFonts w:hint="eastAsia"/>
          <w:b/>
        </w:rPr>
        <w:t>投标人需要提供投标产品技术支持资料（或证明材料），并需要同时加盖投标人公章。对于技术规格中标注“▲”和“#”的技术参数，投标人须在投标文件中按照招标文件技术规格的要求提供技术应答的证明材料（系统截图），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公章的，评标委员会可不予承认，并可认为该技术应答不符合招标文件要求。由此产生的评标风险，由投标人承担。</w:t>
      </w:r>
    </w:p>
    <w:p>
      <w:pPr>
        <w:tabs>
          <w:tab w:val="left" w:pos="900"/>
        </w:tabs>
        <w:spacing w:line="360" w:lineRule="auto"/>
        <w:contextualSpacing/>
        <w:rPr>
          <w:rFonts w:hint="eastAsia" w:ascii="仿宋" w:hAnsi="仿宋" w:eastAsia="仿宋"/>
          <w:sz w:val="24"/>
        </w:rPr>
      </w:pPr>
      <w:r>
        <w:rPr>
          <w:rFonts w:hint="eastAsia" w:ascii="仿宋" w:hAnsi="仿宋" w:eastAsia="仿宋"/>
          <w:sz w:val="24"/>
        </w:rPr>
        <w:t>2、投标人需按照招标文件要求提供</w:t>
      </w:r>
      <w:r>
        <w:rPr>
          <w:rFonts w:hint="eastAsia" w:ascii="仿宋" w:hAnsi="仿宋" w:eastAsia="仿宋" w:cs="宋体"/>
          <w:kern w:val="0"/>
          <w:sz w:val="24"/>
        </w:rPr>
        <w:t>整体技术服务方案</w:t>
      </w:r>
      <w:r>
        <w:rPr>
          <w:rFonts w:hint="eastAsia" w:ascii="仿宋" w:hAnsi="仿宋" w:eastAsia="仿宋"/>
          <w:sz w:val="24"/>
        </w:rPr>
        <w:t>、</w:t>
      </w:r>
      <w:r>
        <w:rPr>
          <w:rFonts w:hint="eastAsia" w:ascii="仿宋" w:hAnsi="仿宋" w:eastAsia="仿宋" w:cs="宋体"/>
          <w:sz w:val="24"/>
        </w:rPr>
        <w:t>项目管理及实施保障方案</w:t>
      </w:r>
      <w:r>
        <w:rPr>
          <w:rFonts w:hint="eastAsia" w:ascii="仿宋" w:hAnsi="仿宋" w:eastAsia="仿宋"/>
          <w:sz w:val="24"/>
        </w:rPr>
        <w:t>、</w:t>
      </w:r>
      <w:r>
        <w:rPr>
          <w:rFonts w:ascii="仿宋" w:hAnsi="仿宋" w:eastAsia="仿宋" w:cs="宋体"/>
          <w:sz w:val="24"/>
        </w:rPr>
        <w:t>售后服务方案和培训方案</w:t>
      </w:r>
      <w:r>
        <w:rPr>
          <w:rFonts w:hint="eastAsia" w:ascii="仿宋" w:hAnsi="仿宋" w:eastAsia="仿宋"/>
          <w:sz w:val="24"/>
        </w:rPr>
        <w:t>等。</w:t>
      </w:r>
    </w:p>
    <w:p>
      <w:pPr>
        <w:tabs>
          <w:tab w:val="left" w:pos="900"/>
        </w:tabs>
        <w:spacing w:line="360" w:lineRule="auto"/>
        <w:contextualSpacing/>
        <w:rPr>
          <w:rFonts w:hint="eastAsia" w:ascii="仿宋" w:hAnsi="仿宋" w:eastAsia="仿宋"/>
          <w:b/>
          <w:sz w:val="24"/>
        </w:rPr>
      </w:pPr>
      <w:r>
        <w:rPr>
          <w:rFonts w:hint="eastAsia" w:ascii="仿宋" w:hAnsi="仿宋" w:eastAsia="仿宋"/>
          <w:b/>
          <w:sz w:val="24"/>
        </w:rPr>
        <w:t>七、采购标的需满足的质量、安全、技术规格、知识产权等要求：</w:t>
      </w:r>
    </w:p>
    <w:p>
      <w:pPr>
        <w:pStyle w:val="7"/>
        <w:spacing w:line="360" w:lineRule="auto"/>
        <w:contextualSpacing/>
        <w:rPr>
          <w:rFonts w:ascii="仿宋" w:hAnsi="仿宋" w:eastAsia="仿宋"/>
          <w:bCs/>
          <w:sz w:val="24"/>
          <w:szCs w:val="24"/>
        </w:rPr>
      </w:pPr>
      <w:r>
        <w:rPr>
          <w:rFonts w:ascii="仿宋" w:hAnsi="仿宋" w:eastAsia="仿宋"/>
          <w:bCs/>
          <w:sz w:val="24"/>
          <w:szCs w:val="24"/>
        </w:rPr>
        <w:t>1、投标人保证所提供的软件为最新版本软件，符合国家软件工程规范标准；能够满足NMPA药品临床试验管理规范的相关要求；软件运行稳定、正确、快速。</w:t>
      </w:r>
    </w:p>
    <w:p>
      <w:pPr>
        <w:pStyle w:val="7"/>
        <w:spacing w:line="360" w:lineRule="auto"/>
        <w:contextualSpacing/>
        <w:rPr>
          <w:rFonts w:ascii="仿宋" w:hAnsi="仿宋" w:eastAsia="仿宋"/>
          <w:bCs/>
          <w:sz w:val="24"/>
          <w:szCs w:val="24"/>
        </w:rPr>
      </w:pPr>
      <w:r>
        <w:rPr>
          <w:rFonts w:ascii="仿宋" w:hAnsi="仿宋" w:eastAsia="仿宋"/>
          <w:bCs/>
          <w:sz w:val="24"/>
          <w:szCs w:val="24"/>
        </w:rPr>
        <w:t>2、投标人保证拥有软件，并有权力给予软件授权使用；对软件的使用不会导致嗯侵犯版权、商业秘密、中国专利的权利；在软件安装时, 软件无木马、蠕虫等病毒。</w:t>
      </w:r>
    </w:p>
    <w:p>
      <w:pPr>
        <w:pStyle w:val="7"/>
        <w:spacing w:line="360" w:lineRule="auto"/>
        <w:contextualSpacing/>
        <w:rPr>
          <w:rFonts w:ascii="仿宋" w:hAnsi="仿宋" w:eastAsia="仿宋"/>
          <w:bCs/>
          <w:sz w:val="24"/>
          <w:szCs w:val="24"/>
        </w:rPr>
      </w:pPr>
      <w:r>
        <w:rPr>
          <w:rFonts w:ascii="仿宋" w:hAnsi="仿宋" w:eastAsia="仿宋"/>
          <w:bCs/>
          <w:sz w:val="24"/>
          <w:szCs w:val="24"/>
        </w:rPr>
        <w:t>3、投标人应保证所供标的是全新的、未使用过的，必须达到或高于招标要求及投标承诺的、符合国家有关标准、制造厂标准及合同技术标准要求。使用中，如果发现标的的质量或规格与合同不符，或证实是有缺陷（BUG）的，包括潜在的缺陷或使用不符合要求的材料等，乙方应在接到甲方通知后15个工作日内负责采用符合合同规定的规格、质量和性能要求的新零件、部件或货物来更换有缺陷的部分或修补缺陷部分，其费用由乙方负担。</w:t>
      </w:r>
    </w:p>
    <w:p>
      <w:pPr>
        <w:pStyle w:val="7"/>
        <w:spacing w:line="360" w:lineRule="auto"/>
        <w:contextualSpacing/>
        <w:rPr>
          <w:rFonts w:ascii="仿宋" w:hAnsi="仿宋" w:eastAsia="仿宋"/>
          <w:bCs/>
          <w:sz w:val="24"/>
          <w:szCs w:val="24"/>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仿宋" w:hAnsi="仿宋" w:eastAsia="仿宋"/>
          <w:bCs/>
          <w:sz w:val="24"/>
          <w:szCs w:val="24"/>
        </w:rPr>
        <w:t>4、投标人应保证拥有提供标的物软件的著作权和所有权。该软件受中华人民共和国法律、法规的保护。商标的使用应符合商标惯例，包括和商标所有人名称的一致。商标可以仅用于对该软件产品的识别。对于任何商标的该种使用都不会导致对该商标使用权的拥有。同时投标人承诺在合同尾款支付前将源代码刻盘密封给到采购人，采购人承诺不用于商业用途。</w:t>
      </w:r>
      <w:r>
        <w:rPr>
          <w:rFonts w:hAnsi="宋体"/>
          <w:szCs w:val="21"/>
        </w:rPr>
        <w:br w:type="page"/>
      </w:r>
    </w:p>
    <w:p>
      <w:pPr>
        <w:tabs>
          <w:tab w:val="left" w:pos="900"/>
        </w:tabs>
        <w:spacing w:before="120" w:beforeLines="50" w:line="360" w:lineRule="auto"/>
        <w:jc w:val="center"/>
        <w:rPr>
          <w:rFonts w:hint="eastAsia"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研究型病房临床科研一体化平台</w:t>
      </w:r>
    </w:p>
    <w:p>
      <w:pPr>
        <w:pStyle w:val="19"/>
        <w:numPr>
          <w:ilvl w:val="0"/>
          <w:numId w:val="3"/>
        </w:numPr>
        <w:spacing w:line="360" w:lineRule="auto"/>
        <w:contextualSpacing/>
        <w:outlineLvl w:val="0"/>
        <w:rPr>
          <w:rFonts w:hint="eastAsia" w:ascii="仿宋" w:hAnsi="仿宋" w:eastAsia="仿宋"/>
          <w:b/>
        </w:rPr>
      </w:pPr>
      <w:r>
        <w:rPr>
          <w:rFonts w:ascii="仿宋" w:hAnsi="仿宋" w:eastAsia="仿宋"/>
          <w:b/>
        </w:rPr>
        <w:t>项目概况</w:t>
      </w:r>
    </w:p>
    <w:p>
      <w:pPr>
        <w:spacing w:line="360" w:lineRule="auto"/>
        <w:ind w:firstLine="424" w:firstLineChars="177"/>
        <w:contextualSpacing/>
        <w:rPr>
          <w:rFonts w:hint="eastAsia" w:ascii="仿宋" w:hAnsi="仿宋" w:eastAsia="仿宋"/>
          <w:color w:val="000000"/>
          <w:kern w:val="0"/>
          <w:sz w:val="24"/>
        </w:rPr>
      </w:pPr>
      <w:r>
        <w:rPr>
          <w:rFonts w:ascii="仿宋" w:hAnsi="仿宋" w:eastAsia="仿宋"/>
          <w:color w:val="000000"/>
          <w:kern w:val="0"/>
          <w:sz w:val="24"/>
        </w:rPr>
        <w:t>首都儿科研究所是新中国第一家儿科医学研究所，前身是中国医学科学院儿科研究所，成立于1958年。1983年归属北京市卫生局，正式更名为首都儿科研究所，1986年附属儿童医院正式成立。附属儿童医院为三级甲等医院，属于公立非营利性医疗机构，是集儿科基础研究、临床、高等教育、预防保健为一体的儿科医学机构。</w:t>
      </w:r>
    </w:p>
    <w:p>
      <w:pPr>
        <w:adjustRightInd w:val="0"/>
        <w:spacing w:line="360" w:lineRule="auto"/>
        <w:ind w:firstLine="480" w:firstLineChars="200"/>
        <w:contextualSpacing/>
        <w:rPr>
          <w:rFonts w:hint="eastAsia" w:ascii="仿宋" w:hAnsi="仿宋" w:eastAsia="仿宋"/>
          <w:kern w:val="0"/>
          <w:sz w:val="24"/>
        </w:rPr>
      </w:pPr>
      <w:r>
        <w:rPr>
          <w:rFonts w:ascii="仿宋" w:hAnsi="仿宋" w:eastAsia="仿宋"/>
          <w:color w:val="000000"/>
          <w:kern w:val="0"/>
          <w:sz w:val="24"/>
        </w:rPr>
        <w:t>为加强研究型病房的运行管理，积极创新管理体制和运行机制，完善支撑服务体系。医院高度重视信息化建设，拟进行临床评价技术平台和临床试验管理基础平台升级，缩短研究周期、简化研究环节、提升受试者体验，保证数据采集和管理的实时性、准确性、真实性、完整性。计划引进符合国际规范的研究型病房管理信息化平台，结合网络管理优势，采用一体化建设模式，完成与医院 HIS、LIS、PACS 等系统的对接。作为持续推进临床研究数字化的基础支撑平台，基于现有临床评价技术平台（GCP）拓展升级科研立项管理模块，实现科研立项流程管理；基于现有临床试验管理基础平台（sEDC）升级ePRO数据采集与管理，实现远程受试者数据采集表单维护和数据管理，并通过ePRO手机移动端，方便受试者远程填写数据，以及通过OCR自动实现文字识别，为真实世界研究提供数据采集服务。同时，建立临床研究项目实施管理系统，自动区分受试者和普通住院患者身份，实现受试者自付住院费用与临床研究费用自动分解和临床研究的财务费用直接及时结算；支撑开展基于风险的（RBM）中心化和远程监查；实现受试者AE/SAE自动判定，方便临床试验收集安全信息；基于院内患者资源与临床试验方案入排标准比对分析，快速生成潜在受试者清单，提供潜在受试者标记功能，加快项目受试者招募。</w:t>
      </w:r>
      <w:r>
        <w:rPr>
          <w:rFonts w:ascii="仿宋" w:hAnsi="仿宋" w:eastAsia="仿宋"/>
          <w:kern w:val="0"/>
          <w:sz w:val="24"/>
        </w:rPr>
        <w:t>充分考虑临床研究管理的复杂性、精准控制和精细化管理要求，引入研究型病房管理系统，提高研究型病房运营效率和质量，提升受试者满意度，提高项目承接能力，助力高质量临床研究。</w:t>
      </w:r>
    </w:p>
    <w:p>
      <w:pPr>
        <w:spacing w:line="360" w:lineRule="auto"/>
        <w:contextualSpacing/>
        <w:outlineLvl w:val="0"/>
        <w:rPr>
          <w:rFonts w:hint="eastAsia" w:ascii="仿宋" w:hAnsi="仿宋" w:eastAsia="仿宋"/>
          <w:b/>
          <w:color w:val="000000"/>
          <w:sz w:val="24"/>
        </w:rPr>
      </w:pPr>
      <w:bookmarkStart w:id="0" w:name="_Toc244936408"/>
      <w:bookmarkStart w:id="1" w:name="_Toc234982342"/>
      <w:r>
        <w:rPr>
          <w:rFonts w:ascii="仿宋" w:hAnsi="仿宋" w:eastAsia="仿宋"/>
          <w:b/>
          <w:color w:val="000000"/>
          <w:sz w:val="24"/>
        </w:rPr>
        <w:t>二、建设目标</w:t>
      </w:r>
      <w:bookmarkEnd w:id="0"/>
      <w:bookmarkEnd w:id="1"/>
    </w:p>
    <w:p>
      <w:pPr>
        <w:adjustRightInd w:val="0"/>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引进国内外先进的、成熟的、符合国际规范的研究型病房管理信息化平台，聘请有临床研究信息化经验的专家为医院规划、指导和实施系统。</w:t>
      </w:r>
      <w:r>
        <w:rPr>
          <w:rFonts w:ascii="仿宋" w:hAnsi="仿宋" w:eastAsia="仿宋"/>
          <w:color w:val="000000"/>
          <w:sz w:val="24"/>
        </w:rPr>
        <w:t>项目建设目标包括：</w:t>
      </w:r>
    </w:p>
    <w:p>
      <w:pPr>
        <w:spacing w:line="360" w:lineRule="auto"/>
        <w:ind w:firstLine="482"/>
        <w:contextualSpacing/>
        <w:rPr>
          <w:rFonts w:hint="eastAsia" w:ascii="仿宋" w:hAnsi="仿宋" w:eastAsia="仿宋"/>
          <w:color w:val="000000"/>
          <w:sz w:val="24"/>
        </w:rPr>
      </w:pPr>
      <w:bookmarkStart w:id="2" w:name="_Toc23721152"/>
      <w:bookmarkStart w:id="3" w:name="_Toc23721151"/>
      <w:r>
        <w:rPr>
          <w:rFonts w:ascii="仿宋" w:hAnsi="仿宋" w:eastAsia="仿宋"/>
          <w:color w:val="000000"/>
          <w:sz w:val="24"/>
        </w:rPr>
        <w:t>1、</w:t>
      </w:r>
      <w:bookmarkEnd w:id="2"/>
      <w:r>
        <w:rPr>
          <w:rFonts w:ascii="仿宋" w:hAnsi="仿宋" w:eastAsia="仿宋"/>
          <w:color w:val="000000"/>
          <w:sz w:val="24"/>
        </w:rPr>
        <w:t>升级拓展科研立项管理</w:t>
      </w:r>
    </w:p>
    <w:p>
      <w:pPr>
        <w:widowControl/>
        <w:spacing w:line="360" w:lineRule="auto"/>
        <w:ind w:firstLine="480" w:firstLineChars="200"/>
        <w:contextualSpacing/>
        <w:jc w:val="left"/>
        <w:rPr>
          <w:rFonts w:hint="eastAsia" w:ascii="仿宋" w:hAnsi="仿宋" w:eastAsia="仿宋"/>
          <w:color w:val="000000"/>
          <w:sz w:val="24"/>
        </w:rPr>
      </w:pPr>
      <w:r>
        <w:rPr>
          <w:rFonts w:ascii="仿宋" w:hAnsi="仿宋" w:eastAsia="仿宋"/>
          <w:color w:val="000000"/>
          <w:sz w:val="24"/>
        </w:rPr>
        <w:t>为临床研究办公室的立项审批管理和临床研究科室的项目管理、科室人员工作管理等具体业务提供高效率和高品质的解决方案，可实现科研立项流程管理，包括科研课题申报、IIT项目的立项申请、专家评审和学术性审查以及科研项目伦理审查管理，通过电子化管理实现项目启动加速，简化项目立项审批环节。缩短研究周期、简化研究环节、提升受试者体验。</w:t>
      </w:r>
    </w:p>
    <w:p>
      <w:pPr>
        <w:spacing w:line="360" w:lineRule="auto"/>
        <w:ind w:firstLine="482"/>
        <w:contextualSpacing/>
        <w:rPr>
          <w:rFonts w:hint="eastAsia" w:ascii="仿宋" w:hAnsi="仿宋" w:eastAsia="仿宋"/>
          <w:color w:val="000000"/>
          <w:sz w:val="24"/>
        </w:rPr>
      </w:pPr>
      <w:r>
        <w:rPr>
          <w:rFonts w:ascii="仿宋" w:hAnsi="仿宋" w:eastAsia="仿宋"/>
          <w:color w:val="000000"/>
          <w:sz w:val="24"/>
        </w:rPr>
        <w:t>2、升级拓展ePRO数据采集与管理及</w:t>
      </w:r>
      <w:r>
        <w:rPr>
          <w:rFonts w:hint="eastAsia" w:ascii="仿宋" w:hAnsi="仿宋" w:eastAsia="仿宋"/>
          <w:color w:val="000000"/>
          <w:sz w:val="24"/>
        </w:rPr>
        <w:t>电子研究病历</w:t>
      </w:r>
      <w:r>
        <w:rPr>
          <w:rFonts w:ascii="仿宋" w:hAnsi="仿宋" w:eastAsia="仿宋"/>
          <w:color w:val="000000"/>
          <w:sz w:val="24"/>
        </w:rPr>
        <w:t>移动端操作</w:t>
      </w:r>
    </w:p>
    <w:p>
      <w:pPr>
        <w:pStyle w:val="5"/>
        <w:spacing w:before="0" w:line="360" w:lineRule="auto"/>
        <w:ind w:firstLine="480" w:firstLineChars="200"/>
        <w:contextualSpacing/>
        <w:rPr>
          <w:rFonts w:hint="eastAsia" w:ascii="仿宋" w:hAnsi="仿宋" w:eastAsia="仿宋"/>
          <w:color w:val="000000"/>
        </w:rPr>
      </w:pPr>
      <w:r>
        <w:rPr>
          <w:rFonts w:ascii="仿宋" w:hAnsi="仿宋" w:eastAsia="仿宋"/>
          <w:color w:val="000000"/>
        </w:rPr>
        <w:t>基于研究方案配置数据采集表单和管理数据，提供手机移动端，方便受试者远程填写数据，以及通过OCR自动实现文字识别，为真实世界研究提供数据采集服务。</w:t>
      </w:r>
    </w:p>
    <w:p>
      <w:pPr>
        <w:spacing w:line="360" w:lineRule="auto"/>
        <w:ind w:firstLine="482"/>
        <w:contextualSpacing/>
        <w:rPr>
          <w:rFonts w:hint="eastAsia" w:ascii="仿宋" w:hAnsi="仿宋" w:eastAsia="仿宋"/>
          <w:color w:val="000000"/>
          <w:sz w:val="24"/>
        </w:rPr>
      </w:pPr>
      <w:r>
        <w:rPr>
          <w:rFonts w:ascii="仿宋" w:hAnsi="仿宋" w:eastAsia="仿宋"/>
          <w:color w:val="000000"/>
          <w:sz w:val="24"/>
        </w:rPr>
        <w:t>3、建立临床研究项目实施管理系统</w:t>
      </w:r>
    </w:p>
    <w:p>
      <w:pPr>
        <w:widowControl/>
        <w:spacing w:line="360" w:lineRule="auto"/>
        <w:ind w:firstLine="480" w:firstLineChars="200"/>
        <w:contextualSpacing/>
        <w:jc w:val="left"/>
        <w:rPr>
          <w:rFonts w:hint="eastAsia" w:ascii="仿宋" w:hAnsi="仿宋" w:eastAsia="仿宋"/>
          <w:color w:val="000000"/>
          <w:sz w:val="24"/>
        </w:rPr>
      </w:pPr>
      <w:r>
        <w:rPr>
          <w:rFonts w:ascii="仿宋" w:hAnsi="仿宋" w:eastAsia="仿宋"/>
          <w:color w:val="000000"/>
          <w:sz w:val="24"/>
        </w:rPr>
        <w:t>实现对II-IV临床试验的全流程实施在线跟踪及监管，为临床试验的全流程实施在线跟踪及监管打好基础，实现临床试验方案可视化配置在系统中配置并推送到HIS，在门诊/住院系统中选择方案预定义的计划医嘱开立GCP检验、检查、用药，从而减少方案偏离，同时标记推送的检验检查为临床试验方案规定内容，从而避免与医保扣费和自付费混淆，实现临床试验检验检查项目HIS系统不计费开单。与医院HIS、LIS、EMR、数据平台等对接，实现临床研究受试者的病程数据采集，实现对知情同意、筛选、方案违背、不良事件、合并用药， AE/SAE、CRF 数据等的远程在线监查。通过对受试者临床研究数据与CTCAE等常见不良反应和严重不良反应进行对比分析，实现受试者AE/SAE自动判定，并生成相应报告，方便临床试验收集安全信息。</w:t>
      </w:r>
      <w:bookmarkEnd w:id="3"/>
      <w:r>
        <w:rPr>
          <w:rFonts w:ascii="仿宋" w:hAnsi="仿宋" w:eastAsia="仿宋"/>
          <w:color w:val="000000"/>
          <w:sz w:val="24"/>
        </w:rPr>
        <w:t>结合院内外患者电子病历数据及其他分析数据，实现临床研究受试者智能筛选，加快临床研究受试者入组速度。</w:t>
      </w:r>
    </w:p>
    <w:p>
      <w:pPr>
        <w:spacing w:line="360" w:lineRule="auto"/>
        <w:ind w:firstLine="482"/>
        <w:contextualSpacing/>
        <w:rPr>
          <w:rFonts w:hint="eastAsia" w:ascii="仿宋" w:hAnsi="仿宋" w:eastAsia="仿宋"/>
          <w:color w:val="000000"/>
          <w:sz w:val="24"/>
        </w:rPr>
      </w:pPr>
      <w:r>
        <w:rPr>
          <w:rFonts w:ascii="仿宋" w:hAnsi="仿宋" w:eastAsia="仿宋"/>
          <w:color w:val="000000"/>
          <w:sz w:val="24"/>
        </w:rPr>
        <w:t>4、建立研究型病房系统</w:t>
      </w:r>
    </w:p>
    <w:p>
      <w:pPr>
        <w:pStyle w:val="5"/>
        <w:spacing w:before="0" w:line="360" w:lineRule="auto"/>
        <w:ind w:firstLine="480" w:firstLineChars="200"/>
        <w:contextualSpacing/>
        <w:rPr>
          <w:rFonts w:hint="eastAsia" w:ascii="仿宋" w:hAnsi="仿宋" w:eastAsia="仿宋"/>
          <w:color w:val="000000"/>
        </w:rPr>
      </w:pPr>
      <w:r>
        <w:rPr>
          <w:rFonts w:ascii="仿宋" w:hAnsi="仿宋" w:eastAsia="仿宋"/>
          <w:color w:val="000000"/>
        </w:rPr>
        <w:t>充分考虑临床研究管理的复杂性、精准控制和精细化管理要求，广泛采用移动互联网技术及唯一编码追踪术，从病区管理、病房病床管理、科室项目管理、日常工作管理、受试者管理、人员项目排班管理、样本管理、质量管理等进行全程电子化管理，降低错误率和简化研究环节以及提升人员工作效率，同时建立质量保障体系，自动生成研究日程安排，提供了许多提醒和纠错功能，有效的规避操作失误，提高研究型病房运营效率和质量，提升受试者满意度，提高项目承接能力，助力高质量临床研究。</w:t>
      </w:r>
    </w:p>
    <w:p>
      <w:pPr>
        <w:spacing w:line="360" w:lineRule="auto"/>
        <w:ind w:firstLine="482"/>
        <w:contextualSpacing/>
        <w:rPr>
          <w:rFonts w:hint="eastAsia" w:ascii="仿宋" w:hAnsi="仿宋" w:eastAsia="仿宋"/>
          <w:color w:val="000000"/>
          <w:sz w:val="24"/>
        </w:rPr>
      </w:pPr>
      <w:r>
        <w:rPr>
          <w:rFonts w:ascii="仿宋" w:hAnsi="仿宋" w:eastAsia="仿宋"/>
          <w:color w:val="000000"/>
          <w:sz w:val="24"/>
        </w:rPr>
        <w:t>5、建立临床研究中心用户管理系统</w:t>
      </w:r>
    </w:p>
    <w:p>
      <w:pPr>
        <w:pStyle w:val="5"/>
        <w:spacing w:before="0" w:line="360" w:lineRule="auto"/>
        <w:ind w:firstLine="480" w:firstLineChars="200"/>
        <w:contextualSpacing/>
        <w:rPr>
          <w:rFonts w:hint="eastAsia" w:ascii="仿宋" w:hAnsi="仿宋" w:eastAsia="仿宋"/>
        </w:rPr>
      </w:pPr>
      <w:r>
        <w:rPr>
          <w:rFonts w:ascii="仿宋" w:hAnsi="仿宋" w:eastAsia="仿宋"/>
        </w:rPr>
        <w:t>为研究型病房管理信息化平台使用者快捷简单的使用，提供用户管理平台系统为临床研究中心各部门（包括机构、伦理、临床专业科室、I期临床研究中心、财务等）的各系统提供一个统一登录入口实现用户账户管理、项目登录控制、登录监管等功能。</w:t>
      </w:r>
    </w:p>
    <w:p>
      <w:pPr>
        <w:pStyle w:val="5"/>
        <w:spacing w:before="0" w:line="360" w:lineRule="auto"/>
        <w:ind w:firstLine="480" w:firstLineChars="200"/>
        <w:contextualSpacing/>
        <w:rPr>
          <w:rFonts w:hint="eastAsia" w:ascii="仿宋" w:hAnsi="仿宋" w:eastAsia="仿宋"/>
        </w:rPr>
      </w:pPr>
      <w:r>
        <w:rPr>
          <w:rFonts w:ascii="仿宋" w:hAnsi="仿宋" w:eastAsia="仿宋"/>
        </w:rPr>
        <w:t>6、建立临床研究信息集成平台</w:t>
      </w:r>
    </w:p>
    <w:p>
      <w:pPr>
        <w:pStyle w:val="5"/>
        <w:spacing w:before="0" w:line="360" w:lineRule="auto"/>
        <w:ind w:firstLine="480" w:firstLineChars="200"/>
        <w:contextualSpacing/>
        <w:rPr>
          <w:rFonts w:hint="eastAsia" w:ascii="仿宋" w:hAnsi="仿宋" w:eastAsia="仿宋"/>
          <w:color w:val="000000"/>
          <w:kern w:val="0"/>
        </w:rPr>
      </w:pPr>
      <w:r>
        <w:rPr>
          <w:rFonts w:ascii="仿宋" w:hAnsi="仿宋" w:eastAsia="仿宋"/>
        </w:rPr>
        <w:t>为实现研究型病房管理信息平台与医院业务系统（包括HIS、LIS、EMR、CIS等）数据交互提供的标准接口解决方案。</w:t>
      </w:r>
    </w:p>
    <w:p>
      <w:pPr>
        <w:spacing w:line="360" w:lineRule="auto"/>
        <w:contextualSpacing/>
        <w:outlineLvl w:val="0"/>
        <w:rPr>
          <w:rFonts w:hint="eastAsia" w:ascii="仿宋" w:hAnsi="仿宋" w:eastAsia="仿宋"/>
          <w:b/>
          <w:bCs/>
          <w:color w:val="000000"/>
          <w:sz w:val="24"/>
        </w:rPr>
      </w:pPr>
      <w:r>
        <w:rPr>
          <w:rFonts w:ascii="仿宋" w:hAnsi="仿宋" w:eastAsia="仿宋"/>
          <w:b/>
          <w:bCs/>
          <w:color w:val="000000"/>
          <w:sz w:val="24"/>
        </w:rPr>
        <w:t>三、技术参数需求</w:t>
      </w:r>
    </w:p>
    <w:p>
      <w:pPr>
        <w:spacing w:line="360" w:lineRule="auto"/>
        <w:contextualSpacing/>
        <w:outlineLvl w:val="1"/>
        <w:rPr>
          <w:rFonts w:hint="eastAsia" w:ascii="仿宋" w:hAnsi="仿宋" w:eastAsia="仿宋"/>
          <w:color w:val="000000"/>
          <w:sz w:val="24"/>
        </w:rPr>
      </w:pPr>
      <w:bookmarkStart w:id="4" w:name="_Toc87784206"/>
      <w:bookmarkStart w:id="5" w:name="_Toc483226684"/>
      <w:r>
        <w:rPr>
          <w:rFonts w:ascii="仿宋" w:hAnsi="仿宋" w:eastAsia="仿宋"/>
          <w:color w:val="000000"/>
          <w:sz w:val="24"/>
        </w:rPr>
        <w:t>1、基本技术要求</w:t>
      </w:r>
      <w:bookmarkEnd w:id="4"/>
      <w:bookmarkEnd w:id="5"/>
    </w:p>
    <w:p>
      <w:pPr>
        <w:numPr>
          <w:ilvl w:val="0"/>
          <w:numId w:val="4"/>
        </w:numPr>
        <w:spacing w:line="360" w:lineRule="auto"/>
        <w:contextualSpacing/>
        <w:rPr>
          <w:rFonts w:hint="eastAsia" w:ascii="仿宋" w:hAnsi="仿宋" w:eastAsia="仿宋"/>
          <w:color w:val="000000"/>
          <w:sz w:val="24"/>
        </w:rPr>
      </w:pPr>
      <w:r>
        <w:rPr>
          <w:rFonts w:ascii="仿宋" w:hAnsi="仿宋" w:eastAsia="仿宋"/>
          <w:color w:val="000000"/>
          <w:sz w:val="24"/>
        </w:rPr>
        <w:t>性能要求：</w:t>
      </w:r>
    </w:p>
    <w:p>
      <w:pPr>
        <w:adjustRightInd w:val="0"/>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稳定支持300个以上用户访问；</w:t>
      </w:r>
    </w:p>
    <w:p>
      <w:pPr>
        <w:adjustRightInd w:val="0"/>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关键业务功能在并发150用户并发访问时保持快速响应；系统有完善的缓存管理设计系统有完善的缓存管理设计。</w:t>
      </w:r>
    </w:p>
    <w:p>
      <w:pPr>
        <w:numPr>
          <w:ilvl w:val="0"/>
          <w:numId w:val="4"/>
        </w:numPr>
        <w:spacing w:line="360" w:lineRule="auto"/>
        <w:contextualSpacing/>
        <w:rPr>
          <w:rFonts w:hint="eastAsia" w:ascii="仿宋" w:hAnsi="仿宋" w:eastAsia="仿宋"/>
          <w:color w:val="000000"/>
          <w:sz w:val="24"/>
        </w:rPr>
      </w:pPr>
      <w:r>
        <w:rPr>
          <w:rFonts w:ascii="仿宋" w:hAnsi="仿宋" w:eastAsia="仿宋"/>
          <w:color w:val="000000"/>
          <w:sz w:val="24"/>
        </w:rPr>
        <w:t>安全性需求：</w:t>
      </w:r>
    </w:p>
    <w:p>
      <w:pPr>
        <w:adjustRightInd w:val="0"/>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同时支持内网和外网的网络安全规范；数据采用安全的保护措施、设计安全的备份和恢复策略；实现按角色的安全管理，符合各项行业标准的安全设计同时支持内网和外网的网络安全规范。</w:t>
      </w:r>
    </w:p>
    <w:p>
      <w:pPr>
        <w:numPr>
          <w:ilvl w:val="0"/>
          <w:numId w:val="4"/>
        </w:numPr>
        <w:spacing w:line="360" w:lineRule="auto"/>
        <w:contextualSpacing/>
        <w:rPr>
          <w:rFonts w:hint="eastAsia" w:ascii="仿宋" w:hAnsi="仿宋" w:eastAsia="仿宋"/>
          <w:color w:val="000000"/>
          <w:sz w:val="24"/>
        </w:rPr>
      </w:pPr>
      <w:r>
        <w:rPr>
          <w:rFonts w:ascii="仿宋" w:hAnsi="仿宋" w:eastAsia="仿宋"/>
          <w:color w:val="000000"/>
          <w:sz w:val="24"/>
        </w:rPr>
        <w:t>集成与扩展需求：</w:t>
      </w:r>
    </w:p>
    <w:p>
      <w:pPr>
        <w:adjustRightInd w:val="0"/>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使用B/S架构进行设计，支持网内的联机事务处理，联机查询和统计分析处理；</w:t>
      </w:r>
    </w:p>
    <w:p>
      <w:pPr>
        <w:adjustRightInd w:val="0"/>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模块化、组件式开发模式，系统按照平台模式设计可扩展支持各种业务模块，无需对系统的底层基础进行修改，就能够根据需求，随时进行单个功能模块的修改、添加和升级；</w:t>
      </w:r>
    </w:p>
    <w:p>
      <w:pPr>
        <w:adjustRightInd w:val="0"/>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内置国际标准的工作流引擎，能配合机构完成业务流程重组和快速落地，能快速应对SOP调整升级的需求，保障管理思路的顺利实施。可自定义个性化工作流程，满足对一项工作进行不同人员的多级审核需求，在每个审批步骤完成后可以自动修改相关的业务数据，可以判断也可以人工选择流程分支走向；</w:t>
      </w:r>
    </w:p>
    <w:p>
      <w:pPr>
        <w:adjustRightInd w:val="0"/>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整个系统应基于GCP、FDA 21 CFR Part11及CDISC三项标准，确保数据操作自动化、可监控，根据设定条件能自动进行提醒；系统集成了报表服务。</w:t>
      </w:r>
    </w:p>
    <w:p>
      <w:pPr>
        <w:numPr>
          <w:ilvl w:val="0"/>
          <w:numId w:val="4"/>
        </w:numPr>
        <w:spacing w:line="360" w:lineRule="auto"/>
        <w:contextualSpacing/>
        <w:rPr>
          <w:rFonts w:hint="eastAsia" w:ascii="仿宋" w:hAnsi="仿宋" w:eastAsia="仿宋"/>
          <w:color w:val="000000"/>
          <w:sz w:val="24"/>
        </w:rPr>
      </w:pPr>
      <w:r>
        <w:rPr>
          <w:rFonts w:ascii="仿宋" w:hAnsi="仿宋" w:eastAsia="仿宋"/>
          <w:color w:val="000000"/>
          <w:sz w:val="24"/>
        </w:rPr>
        <w:t>可用性需求：</w:t>
      </w:r>
    </w:p>
    <w:p>
      <w:pPr>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基于主流浏览器如IE、Chrome、360等访问，不需安装客户端，实现临床数据分布式网络化录入，支持多中心协作研究。</w:t>
      </w:r>
    </w:p>
    <w:p>
      <w:pPr>
        <w:numPr>
          <w:ilvl w:val="0"/>
          <w:numId w:val="4"/>
        </w:numPr>
        <w:spacing w:line="360" w:lineRule="auto"/>
        <w:contextualSpacing/>
        <w:rPr>
          <w:rFonts w:hint="eastAsia" w:ascii="仿宋" w:hAnsi="仿宋" w:eastAsia="仿宋"/>
          <w:color w:val="000000"/>
          <w:sz w:val="24"/>
        </w:rPr>
      </w:pPr>
      <w:r>
        <w:rPr>
          <w:rFonts w:ascii="仿宋" w:hAnsi="仿宋" w:eastAsia="仿宋"/>
          <w:color w:val="000000"/>
          <w:sz w:val="24"/>
        </w:rPr>
        <w:t>可集成性需求：</w:t>
      </w:r>
    </w:p>
    <w:p>
      <w:pPr>
        <w:adjustRightInd w:val="0"/>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系统具备良好应用架构，各业务功能模块必须具备高度集成性和良好的配置性，以符合国际CDISC标准下一代临床研究信息化技术平台的发展趋势。</w:t>
      </w:r>
    </w:p>
    <w:p>
      <w:pPr>
        <w:numPr>
          <w:ilvl w:val="0"/>
          <w:numId w:val="4"/>
        </w:numPr>
        <w:spacing w:line="360" w:lineRule="auto"/>
        <w:contextualSpacing/>
        <w:rPr>
          <w:rFonts w:hint="eastAsia" w:ascii="仿宋" w:hAnsi="仿宋" w:eastAsia="仿宋"/>
          <w:color w:val="000000"/>
          <w:sz w:val="24"/>
        </w:rPr>
      </w:pPr>
      <w:r>
        <w:rPr>
          <w:rFonts w:ascii="仿宋" w:hAnsi="仿宋" w:eastAsia="仿宋"/>
          <w:color w:val="000000"/>
          <w:sz w:val="24"/>
        </w:rPr>
        <w:t>兼容性需求：</w:t>
      </w:r>
    </w:p>
    <w:p>
      <w:pPr>
        <w:adjustRightInd w:val="0"/>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数据库服务器和应用服务器支持Windows系统操作系统；</w:t>
      </w:r>
    </w:p>
    <w:p>
      <w:pPr>
        <w:adjustRightInd w:val="0"/>
        <w:spacing w:line="360" w:lineRule="auto"/>
        <w:ind w:firstLine="480" w:firstLineChars="200"/>
        <w:contextualSpacing/>
        <w:rPr>
          <w:rFonts w:hint="eastAsia" w:ascii="仿宋" w:hAnsi="仿宋" w:eastAsia="仿宋"/>
          <w:color w:val="000000"/>
          <w:kern w:val="0"/>
          <w:sz w:val="24"/>
        </w:rPr>
      </w:pPr>
      <w:r>
        <w:rPr>
          <w:rFonts w:ascii="仿宋" w:hAnsi="仿宋" w:eastAsia="仿宋"/>
          <w:color w:val="000000"/>
          <w:kern w:val="0"/>
          <w:sz w:val="24"/>
        </w:rPr>
        <w:t>支持</w:t>
      </w:r>
      <w:r>
        <w:rPr>
          <w:rFonts w:hint="eastAsia" w:ascii="仿宋" w:hAnsi="仿宋" w:eastAsia="仿宋"/>
          <w:color w:val="000000"/>
          <w:kern w:val="0"/>
          <w:sz w:val="24"/>
        </w:rPr>
        <w:t>微软Edge</w:t>
      </w:r>
      <w:r>
        <w:rPr>
          <w:rFonts w:ascii="仿宋" w:hAnsi="仿宋" w:eastAsia="仿宋"/>
          <w:color w:val="000000"/>
          <w:kern w:val="0"/>
          <w:sz w:val="24"/>
        </w:rPr>
        <w:t>、Chrome浏览器；</w:t>
      </w:r>
    </w:p>
    <w:p>
      <w:pPr>
        <w:numPr>
          <w:ilvl w:val="0"/>
          <w:numId w:val="4"/>
        </w:numPr>
        <w:spacing w:line="360" w:lineRule="auto"/>
        <w:contextualSpacing/>
        <w:rPr>
          <w:rFonts w:hint="eastAsia" w:ascii="仿宋" w:hAnsi="仿宋" w:eastAsia="仿宋"/>
          <w:color w:val="000000"/>
          <w:sz w:val="24"/>
        </w:rPr>
      </w:pPr>
      <w:r>
        <w:rPr>
          <w:rFonts w:ascii="仿宋" w:hAnsi="仿宋" w:eastAsia="仿宋"/>
          <w:color w:val="000000"/>
          <w:sz w:val="24"/>
        </w:rPr>
        <w:t>易用性需求：</w:t>
      </w:r>
    </w:p>
    <w:p>
      <w:pPr>
        <w:adjustRightInd w:val="0"/>
        <w:spacing w:line="360" w:lineRule="auto"/>
        <w:ind w:firstLine="480" w:firstLineChars="200"/>
        <w:contextualSpacing/>
        <w:rPr>
          <w:rFonts w:hint="eastAsia" w:ascii="仿宋" w:hAnsi="仿宋" w:eastAsia="仿宋"/>
          <w:bCs/>
          <w:color w:val="000000"/>
          <w:kern w:val="0"/>
          <w:sz w:val="24"/>
        </w:rPr>
      </w:pPr>
      <w:r>
        <w:rPr>
          <w:rFonts w:ascii="仿宋" w:hAnsi="仿宋" w:eastAsia="仿宋"/>
          <w:bCs/>
          <w:color w:val="000000"/>
          <w:kern w:val="0"/>
          <w:sz w:val="24"/>
        </w:rPr>
        <w:t>软件采用类似于Window的操作模式，简单易用。</w:t>
      </w:r>
    </w:p>
    <w:p>
      <w:pPr>
        <w:adjustRightInd w:val="0"/>
        <w:spacing w:line="360" w:lineRule="auto"/>
        <w:ind w:firstLine="480" w:firstLineChars="200"/>
        <w:contextualSpacing/>
        <w:rPr>
          <w:rFonts w:hint="eastAsia" w:ascii="仿宋" w:hAnsi="仿宋" w:eastAsia="仿宋"/>
          <w:bCs/>
          <w:color w:val="000000"/>
          <w:kern w:val="0"/>
          <w:sz w:val="24"/>
        </w:rPr>
      </w:pPr>
      <w:r>
        <w:rPr>
          <w:rFonts w:ascii="仿宋" w:hAnsi="仿宋" w:eastAsia="仿宋"/>
          <w:bCs/>
          <w:color w:val="000000"/>
          <w:kern w:val="0"/>
          <w:sz w:val="24"/>
        </w:rPr>
        <w:t>系统界面设计采用人性化的设计，以任务栏与向导相结合的方式简化操作。</w:t>
      </w:r>
    </w:p>
    <w:p>
      <w:pPr>
        <w:numPr>
          <w:ilvl w:val="0"/>
          <w:numId w:val="4"/>
        </w:numPr>
        <w:spacing w:line="360" w:lineRule="auto"/>
        <w:contextualSpacing/>
        <w:rPr>
          <w:rFonts w:hint="eastAsia" w:ascii="仿宋" w:hAnsi="仿宋" w:eastAsia="仿宋"/>
          <w:color w:val="000000"/>
          <w:sz w:val="24"/>
        </w:rPr>
      </w:pPr>
      <w:r>
        <w:rPr>
          <w:rFonts w:ascii="仿宋" w:hAnsi="仿宋" w:eastAsia="仿宋"/>
          <w:color w:val="000000"/>
          <w:sz w:val="24"/>
        </w:rPr>
        <w:t>架构要求：</w:t>
      </w:r>
    </w:p>
    <w:p>
      <w:pPr>
        <w:adjustRightInd w:val="0"/>
        <w:spacing w:line="360" w:lineRule="auto"/>
        <w:ind w:firstLine="480" w:firstLineChars="200"/>
        <w:contextualSpacing/>
        <w:rPr>
          <w:rFonts w:hint="eastAsia" w:ascii="仿宋" w:hAnsi="仿宋" w:eastAsia="仿宋"/>
          <w:bCs/>
          <w:color w:val="000000"/>
          <w:kern w:val="0"/>
          <w:sz w:val="24"/>
        </w:rPr>
      </w:pPr>
      <w:r>
        <w:rPr>
          <w:rFonts w:ascii="仿宋" w:hAnsi="仿宋" w:eastAsia="仿宋"/>
          <w:bCs/>
          <w:color w:val="000000"/>
          <w:kern w:val="0"/>
          <w:sz w:val="24"/>
        </w:rPr>
        <w:t>符合国际下一代临床研究信息化管理发展趋势的电子临床(eClinical)技术架构，其安全性设计和信息管理符合FDA 21 CRF Part 11的规范要求，并且该研究型病房管理平台具有良好的扩展性。</w:t>
      </w:r>
    </w:p>
    <w:p>
      <w:pPr>
        <w:spacing w:line="360" w:lineRule="auto"/>
        <w:contextualSpacing/>
        <w:outlineLvl w:val="1"/>
        <w:rPr>
          <w:rFonts w:hint="eastAsia" w:ascii="仿宋" w:hAnsi="仿宋" w:eastAsia="仿宋"/>
          <w:color w:val="000000"/>
          <w:sz w:val="24"/>
        </w:rPr>
      </w:pPr>
      <w:r>
        <w:rPr>
          <w:rFonts w:ascii="仿宋" w:hAnsi="仿宋" w:eastAsia="仿宋"/>
          <w:color w:val="000000"/>
          <w:sz w:val="24"/>
        </w:rPr>
        <w:t>2、临床科研立项管理</w:t>
      </w:r>
      <w:r>
        <w:rPr>
          <w:rFonts w:hint="eastAsia" w:ascii="仿宋" w:hAnsi="仿宋" w:eastAsia="仿宋"/>
          <w:color w:val="000000"/>
          <w:sz w:val="24"/>
        </w:rPr>
        <w:t>系统</w:t>
      </w:r>
      <w:r>
        <w:rPr>
          <w:rFonts w:ascii="仿宋" w:hAnsi="仿宋" w:eastAsia="仿宋"/>
          <w:color w:val="000000"/>
          <w:sz w:val="24"/>
        </w:rPr>
        <w:t>（功能需求）</w:t>
      </w:r>
    </w:p>
    <w:tbl>
      <w:tblPr>
        <w:tblStyle w:val="1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303"/>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4" w:type="dxa"/>
            <w:shd w:val="clear" w:color="000000" w:fill="D9D9D9"/>
            <w:vAlign w:val="center"/>
          </w:tcPr>
          <w:p>
            <w:pPr>
              <w:widowControl/>
              <w:adjustRightInd w:val="0"/>
              <w:spacing w:line="360" w:lineRule="auto"/>
              <w:contextualSpacing/>
              <w:jc w:val="center"/>
              <w:rPr>
                <w:rFonts w:hint="eastAsia" w:ascii="仿宋" w:hAnsi="仿宋" w:eastAsia="仿宋"/>
                <w:b/>
                <w:color w:val="000000"/>
                <w:kern w:val="0"/>
                <w:sz w:val="24"/>
              </w:rPr>
            </w:pPr>
            <w:r>
              <w:rPr>
                <w:rFonts w:ascii="仿宋" w:hAnsi="仿宋" w:eastAsia="仿宋"/>
                <w:b/>
                <w:color w:val="000000"/>
                <w:kern w:val="0"/>
                <w:sz w:val="24"/>
              </w:rPr>
              <w:t>货物/服务名称</w:t>
            </w:r>
          </w:p>
        </w:tc>
        <w:tc>
          <w:tcPr>
            <w:tcW w:w="7213" w:type="dxa"/>
            <w:gridSpan w:val="2"/>
            <w:shd w:val="clear" w:color="000000" w:fill="D9D9D9"/>
            <w:vAlign w:val="center"/>
          </w:tcPr>
          <w:p>
            <w:pPr>
              <w:widowControl/>
              <w:adjustRightInd w:val="0"/>
              <w:spacing w:line="360" w:lineRule="auto"/>
              <w:contextualSpacing/>
              <w:jc w:val="center"/>
              <w:rPr>
                <w:rFonts w:hint="eastAsia" w:ascii="仿宋" w:hAnsi="仿宋" w:eastAsia="仿宋"/>
                <w:b/>
                <w:color w:val="000000"/>
                <w:kern w:val="0"/>
                <w:sz w:val="24"/>
              </w:rPr>
            </w:pPr>
            <w:r>
              <w:rPr>
                <w:rFonts w:ascii="仿宋" w:hAnsi="仿宋" w:eastAsia="仿宋"/>
                <w:b/>
                <w:color w:val="000000"/>
                <w:kern w:val="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4" w:type="dxa"/>
            <w:vMerge w:val="restart"/>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color w:val="000000"/>
                <w:sz w:val="24"/>
              </w:rPr>
              <w:t>1.临床</w:t>
            </w:r>
            <w:r>
              <w:rPr>
                <w:rFonts w:hint="eastAsia" w:ascii="仿宋" w:hAnsi="仿宋" w:eastAsia="仿宋"/>
                <w:bCs/>
                <w:color w:val="000000"/>
                <w:sz w:val="24"/>
              </w:rPr>
              <w:t>科研立项管理系统</w:t>
            </w:r>
          </w:p>
        </w:tc>
        <w:tc>
          <w:tcPr>
            <w:tcW w:w="1303" w:type="dxa"/>
            <w:vAlign w:val="center"/>
          </w:tcPr>
          <w:p>
            <w:pPr>
              <w:spacing w:line="360" w:lineRule="auto"/>
              <w:contextualSpacing/>
              <w:rPr>
                <w:rFonts w:hint="eastAsia" w:ascii="仿宋" w:hAnsi="仿宋" w:eastAsia="仿宋"/>
                <w:color w:val="000000"/>
                <w:sz w:val="24"/>
              </w:rPr>
            </w:pPr>
            <w:r>
              <w:rPr>
                <w:rFonts w:ascii="仿宋" w:hAnsi="仿宋" w:eastAsia="仿宋"/>
                <w:bCs/>
                <w:sz w:val="24"/>
              </w:rPr>
              <w:t>1.1科研项目管理</w:t>
            </w:r>
          </w:p>
        </w:tc>
        <w:tc>
          <w:tcPr>
            <w:tcW w:w="5910" w:type="dxa"/>
            <w:vAlign w:val="center"/>
          </w:tcPr>
          <w:p>
            <w:pPr>
              <w:numPr>
                <w:ilvl w:val="0"/>
                <w:numId w:val="5"/>
              </w:numPr>
              <w:adjustRightInd w:val="0"/>
              <w:spacing w:line="360" w:lineRule="auto"/>
              <w:contextualSpacing/>
              <w:rPr>
                <w:rFonts w:hint="eastAsia" w:ascii="仿宋" w:hAnsi="仿宋" w:eastAsia="仿宋"/>
                <w:sz w:val="24"/>
              </w:rPr>
            </w:pPr>
            <w:r>
              <w:rPr>
                <w:rFonts w:ascii="仿宋" w:hAnsi="仿宋" w:eastAsia="仿宋"/>
                <w:sz w:val="24"/>
              </w:rPr>
              <w:t>科研项目立项管理</w:t>
            </w:r>
          </w:p>
          <w:p>
            <w:pPr>
              <w:spacing w:line="360" w:lineRule="auto"/>
              <w:contextualSpacing/>
              <w:rPr>
                <w:rFonts w:hint="eastAsia" w:ascii="仿宋" w:hAnsi="仿宋" w:eastAsia="仿宋"/>
                <w:sz w:val="24"/>
              </w:rPr>
            </w:pPr>
            <w:r>
              <w:rPr>
                <w:rFonts w:ascii="仿宋" w:hAnsi="仿宋" w:eastAsia="仿宋"/>
                <w:sz w:val="24"/>
              </w:rPr>
              <w:t>支持在线发起科研立项申请，支持院内项目在线申报;</w:t>
            </w:r>
          </w:p>
          <w:p>
            <w:pPr>
              <w:spacing w:line="360" w:lineRule="auto"/>
              <w:contextualSpacing/>
              <w:rPr>
                <w:rFonts w:hint="eastAsia" w:ascii="仿宋" w:hAnsi="仿宋" w:eastAsia="仿宋"/>
                <w:sz w:val="24"/>
              </w:rPr>
            </w:pPr>
            <w:r>
              <w:rPr>
                <w:rFonts w:ascii="仿宋" w:hAnsi="仿宋" w:eastAsia="仿宋"/>
                <w:sz w:val="24"/>
              </w:rPr>
              <w:t>系统支持纵向课题，横向课题，院内课题申报;</w:t>
            </w:r>
          </w:p>
          <w:p>
            <w:pPr>
              <w:spacing w:line="360" w:lineRule="auto"/>
              <w:contextualSpacing/>
              <w:rPr>
                <w:rFonts w:hint="eastAsia" w:ascii="仿宋" w:hAnsi="仿宋" w:eastAsia="仿宋"/>
                <w:sz w:val="24"/>
              </w:rPr>
            </w:pPr>
            <w:r>
              <w:rPr>
                <w:rFonts w:ascii="仿宋" w:hAnsi="仿宋" w:eastAsia="仿宋"/>
                <w:sz w:val="24"/>
              </w:rPr>
              <w:t>立项申请时可录入经费预算信息。</w:t>
            </w:r>
          </w:p>
          <w:p>
            <w:pPr>
              <w:numPr>
                <w:ilvl w:val="0"/>
                <w:numId w:val="5"/>
              </w:numPr>
              <w:adjustRightInd w:val="0"/>
              <w:spacing w:line="360" w:lineRule="auto"/>
              <w:contextualSpacing/>
              <w:rPr>
                <w:rFonts w:hint="eastAsia" w:ascii="仿宋" w:hAnsi="仿宋" w:eastAsia="仿宋"/>
                <w:sz w:val="24"/>
              </w:rPr>
            </w:pPr>
            <w:r>
              <w:rPr>
                <w:rFonts w:ascii="仿宋" w:hAnsi="仿宋" w:eastAsia="仿宋"/>
                <w:sz w:val="24"/>
              </w:rPr>
              <w:t>学术审查管理</w:t>
            </w:r>
          </w:p>
          <w:p>
            <w:pPr>
              <w:spacing w:line="360" w:lineRule="auto"/>
              <w:contextualSpacing/>
              <w:rPr>
                <w:rFonts w:hint="eastAsia" w:ascii="仿宋" w:hAnsi="仿宋" w:eastAsia="仿宋"/>
                <w:sz w:val="24"/>
              </w:rPr>
            </w:pPr>
            <w:r>
              <w:rPr>
                <w:rFonts w:ascii="仿宋" w:hAnsi="仿宋" w:eastAsia="仿宋"/>
                <w:b/>
                <w:bCs/>
                <w:color w:val="000000"/>
                <w:kern w:val="0"/>
                <w:sz w:val="24"/>
              </w:rPr>
              <w:t>#</w:t>
            </w:r>
            <w:r>
              <w:rPr>
                <w:rFonts w:ascii="仿宋" w:hAnsi="仿宋" w:eastAsia="仿宋"/>
                <w:sz w:val="24"/>
              </w:rPr>
              <w:t>专家审查：支持根据专家自身情况（如擅长领域等）指定专家，专家审查时，可根据预先配置的评分要点，对课题进行评分。</w:t>
            </w:r>
          </w:p>
          <w:p>
            <w:pPr>
              <w:spacing w:line="360" w:lineRule="auto"/>
              <w:contextualSpacing/>
              <w:rPr>
                <w:rFonts w:hint="eastAsia" w:ascii="仿宋" w:hAnsi="仿宋" w:eastAsia="仿宋"/>
                <w:sz w:val="24"/>
              </w:rPr>
            </w:pPr>
            <w:r>
              <w:rPr>
                <w:rFonts w:ascii="仿宋" w:hAnsi="仿宋" w:eastAsia="仿宋"/>
                <w:bCs/>
                <w:kern w:val="0"/>
                <w:sz w:val="24"/>
              </w:rPr>
              <w:t>▲</w:t>
            </w:r>
            <w:r>
              <w:rPr>
                <w:rFonts w:ascii="仿宋" w:hAnsi="仿宋" w:eastAsia="仿宋"/>
                <w:sz w:val="24"/>
              </w:rPr>
              <w:t>会议审查：支持根据课题需要组织会议，对课题进行会议审查，参会专家可在会前对课题进行线上预审，录入审查意见，记录评分结果，在学术会议上，支持专家线上录入最终的评分结果。</w:t>
            </w:r>
          </w:p>
          <w:p>
            <w:pPr>
              <w:numPr>
                <w:ilvl w:val="0"/>
                <w:numId w:val="5"/>
              </w:numPr>
              <w:adjustRightInd w:val="0"/>
              <w:spacing w:line="360" w:lineRule="auto"/>
              <w:contextualSpacing/>
              <w:rPr>
                <w:rFonts w:hint="eastAsia" w:ascii="仿宋" w:hAnsi="仿宋" w:eastAsia="仿宋"/>
                <w:sz w:val="24"/>
              </w:rPr>
            </w:pPr>
            <w:r>
              <w:rPr>
                <w:rFonts w:ascii="仿宋" w:hAnsi="仿宋" w:eastAsia="仿宋"/>
                <w:sz w:val="24"/>
              </w:rPr>
              <w:t>协议签署管理</w:t>
            </w:r>
          </w:p>
          <w:p>
            <w:pPr>
              <w:spacing w:line="360" w:lineRule="auto"/>
              <w:contextualSpacing/>
              <w:rPr>
                <w:rFonts w:hint="eastAsia" w:ascii="仿宋" w:hAnsi="仿宋" w:eastAsia="仿宋"/>
                <w:sz w:val="24"/>
              </w:rPr>
            </w:pPr>
            <w:r>
              <w:rPr>
                <w:rFonts w:ascii="仿宋" w:hAnsi="仿宋" w:eastAsia="仿宋"/>
                <w:sz w:val="24"/>
              </w:rPr>
              <w:t>支持在线合同协议审查申请，支持基本协议、补充协议、CRC协议等多种类型的合同协议信息录入、修改以及附件文件的上传；</w:t>
            </w:r>
          </w:p>
          <w:p>
            <w:pPr>
              <w:numPr>
                <w:ilvl w:val="0"/>
                <w:numId w:val="5"/>
              </w:numPr>
              <w:adjustRightInd w:val="0"/>
              <w:spacing w:line="360" w:lineRule="auto"/>
              <w:contextualSpacing/>
              <w:rPr>
                <w:rFonts w:hint="eastAsia" w:ascii="仿宋" w:hAnsi="仿宋" w:eastAsia="仿宋"/>
                <w:sz w:val="24"/>
              </w:rPr>
            </w:pPr>
            <w:r>
              <w:rPr>
                <w:rFonts w:ascii="仿宋" w:hAnsi="仿宋" w:eastAsia="仿宋"/>
                <w:sz w:val="24"/>
              </w:rPr>
              <w:t>项目启动管理</w:t>
            </w:r>
          </w:p>
          <w:p>
            <w:pPr>
              <w:spacing w:line="360" w:lineRule="auto"/>
              <w:contextualSpacing/>
              <w:rPr>
                <w:rFonts w:hint="eastAsia" w:ascii="仿宋" w:hAnsi="仿宋" w:eastAsia="仿宋"/>
                <w:sz w:val="24"/>
              </w:rPr>
            </w:pPr>
            <w:r>
              <w:rPr>
                <w:rFonts w:ascii="仿宋" w:hAnsi="仿宋" w:eastAsia="仿宋"/>
                <w:sz w:val="24"/>
              </w:rPr>
              <w:t>支持研究者在线提交项目启动申请并上传启动所必要的附件文档资料，支持根据研究者提交的申请以及研究者准备的实际情况，审核是否同意启动。</w:t>
            </w:r>
          </w:p>
          <w:p>
            <w:pPr>
              <w:numPr>
                <w:ilvl w:val="0"/>
                <w:numId w:val="5"/>
              </w:numPr>
              <w:adjustRightInd w:val="0"/>
              <w:spacing w:line="360" w:lineRule="auto"/>
              <w:contextualSpacing/>
              <w:rPr>
                <w:rFonts w:hint="eastAsia" w:ascii="仿宋" w:hAnsi="仿宋" w:eastAsia="仿宋"/>
                <w:sz w:val="24"/>
              </w:rPr>
            </w:pPr>
            <w:r>
              <w:rPr>
                <w:rFonts w:ascii="仿宋" w:hAnsi="仿宋" w:eastAsia="仿宋"/>
                <w:sz w:val="24"/>
              </w:rPr>
              <w:t>项目变更管理</w:t>
            </w:r>
          </w:p>
          <w:p>
            <w:pPr>
              <w:spacing w:line="360" w:lineRule="auto"/>
              <w:contextualSpacing/>
              <w:rPr>
                <w:rFonts w:hint="eastAsia" w:ascii="仿宋" w:hAnsi="仿宋" w:eastAsia="仿宋"/>
                <w:sz w:val="24"/>
              </w:rPr>
            </w:pPr>
            <w:r>
              <w:rPr>
                <w:rFonts w:ascii="仿宋" w:hAnsi="仿宋" w:eastAsia="仿宋"/>
                <w:b/>
                <w:bCs/>
                <w:color w:val="000000"/>
                <w:kern w:val="0"/>
                <w:sz w:val="24"/>
              </w:rPr>
              <w:t>#</w:t>
            </w:r>
            <w:r>
              <w:rPr>
                <w:rFonts w:ascii="仿宋" w:hAnsi="仿宋" w:eastAsia="仿宋"/>
                <w:sz w:val="24"/>
              </w:rPr>
              <w:t>系统支持项目变更申请，支持研究者对自己主持或参与的项目提交变更申请，变更类型包括延期，暂停，中止等，变更内容包括基本信息，人员信息，经费预算等，要求变更申请时必须填写变更内容及变更理由。</w:t>
            </w:r>
          </w:p>
          <w:p>
            <w:pPr>
              <w:numPr>
                <w:ilvl w:val="0"/>
                <w:numId w:val="5"/>
              </w:numPr>
              <w:adjustRightInd w:val="0"/>
              <w:spacing w:line="360" w:lineRule="auto"/>
              <w:contextualSpacing/>
              <w:rPr>
                <w:rFonts w:hint="eastAsia" w:ascii="仿宋" w:hAnsi="仿宋" w:eastAsia="仿宋"/>
                <w:sz w:val="24"/>
              </w:rPr>
            </w:pPr>
            <w:r>
              <w:rPr>
                <w:rFonts w:ascii="仿宋" w:hAnsi="仿宋" w:eastAsia="仿宋"/>
                <w:sz w:val="24"/>
              </w:rPr>
              <w:t>项目结题管理</w:t>
            </w:r>
          </w:p>
          <w:p>
            <w:pPr>
              <w:adjustRightInd w:val="0"/>
              <w:spacing w:line="360" w:lineRule="auto"/>
              <w:contextualSpacing/>
              <w:rPr>
                <w:rFonts w:hint="eastAsia" w:ascii="仿宋" w:hAnsi="仿宋" w:eastAsia="仿宋"/>
                <w:sz w:val="24"/>
              </w:rPr>
            </w:pPr>
            <w:r>
              <w:rPr>
                <w:rFonts w:ascii="仿宋" w:hAnsi="仿宋" w:eastAsia="仿宋"/>
                <w:sz w:val="24"/>
              </w:rPr>
              <w:t>支持项目结题申请，支持项目小结表的在线申请与审查，支持项目归档资料的在线申请与审核，支持项目结题报告的在线申请与审核。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4" w:type="dxa"/>
            <w:vMerge w:val="continue"/>
            <w:vAlign w:val="center"/>
          </w:tcPr>
          <w:p>
            <w:pPr>
              <w:adjustRightInd w:val="0"/>
              <w:spacing w:line="360" w:lineRule="auto"/>
              <w:contextualSpacing/>
              <w:rPr>
                <w:rFonts w:hint="eastAsia" w:ascii="仿宋" w:hAnsi="仿宋" w:eastAsia="仿宋"/>
                <w:bCs/>
                <w:color w:val="000000"/>
                <w:sz w:val="24"/>
              </w:rPr>
            </w:pPr>
          </w:p>
        </w:tc>
        <w:tc>
          <w:tcPr>
            <w:tcW w:w="1303" w:type="dxa"/>
            <w:vAlign w:val="center"/>
          </w:tcPr>
          <w:p>
            <w:pPr>
              <w:spacing w:line="360" w:lineRule="auto"/>
              <w:contextualSpacing/>
              <w:rPr>
                <w:rFonts w:hint="eastAsia" w:ascii="仿宋" w:hAnsi="仿宋" w:eastAsia="仿宋"/>
                <w:sz w:val="24"/>
              </w:rPr>
            </w:pPr>
            <w:r>
              <w:rPr>
                <w:rFonts w:ascii="仿宋" w:hAnsi="仿宋" w:eastAsia="仿宋"/>
                <w:sz w:val="24"/>
              </w:rPr>
              <w:t>1.2伦理审查管理</w:t>
            </w:r>
          </w:p>
        </w:tc>
        <w:tc>
          <w:tcPr>
            <w:tcW w:w="5910" w:type="dxa"/>
            <w:vAlign w:val="center"/>
          </w:tcPr>
          <w:p>
            <w:pPr>
              <w:numPr>
                <w:ilvl w:val="0"/>
                <w:numId w:val="6"/>
              </w:numPr>
              <w:adjustRightInd w:val="0"/>
              <w:spacing w:line="360" w:lineRule="auto"/>
              <w:contextualSpacing/>
              <w:rPr>
                <w:rFonts w:hint="eastAsia" w:ascii="仿宋" w:hAnsi="仿宋" w:eastAsia="仿宋"/>
                <w:sz w:val="24"/>
              </w:rPr>
            </w:pPr>
            <w:r>
              <w:rPr>
                <w:rFonts w:ascii="仿宋" w:hAnsi="仿宋" w:eastAsia="仿宋"/>
                <w:sz w:val="24"/>
              </w:rPr>
              <w:t>伦理审查资料递交管理：</w:t>
            </w:r>
          </w:p>
          <w:p>
            <w:pPr>
              <w:spacing w:line="360" w:lineRule="auto"/>
              <w:contextualSpacing/>
              <w:rPr>
                <w:rFonts w:hint="eastAsia" w:ascii="仿宋" w:hAnsi="仿宋" w:eastAsia="仿宋"/>
                <w:sz w:val="24"/>
              </w:rPr>
            </w:pPr>
            <w:r>
              <w:rPr>
                <w:rFonts w:ascii="仿宋" w:hAnsi="仿宋" w:eastAsia="仿宋"/>
                <w:b/>
                <w:bCs/>
                <w:color w:val="000000"/>
                <w:kern w:val="0"/>
                <w:sz w:val="24"/>
              </w:rPr>
              <w:t>#</w:t>
            </w:r>
            <w:r>
              <w:rPr>
                <w:rFonts w:ascii="仿宋" w:hAnsi="仿宋" w:eastAsia="仿宋"/>
                <w:sz w:val="24"/>
              </w:rPr>
              <w:t>支持伦理审查资料递交节点控制和逻辑控制功能，支持立项后发起伦理审查，伦理审查初始通过后发起跟踪审查申请。</w:t>
            </w:r>
          </w:p>
          <w:p>
            <w:pPr>
              <w:numPr>
                <w:ilvl w:val="0"/>
                <w:numId w:val="6"/>
              </w:numPr>
              <w:adjustRightInd w:val="0"/>
              <w:spacing w:line="360" w:lineRule="auto"/>
              <w:contextualSpacing/>
              <w:rPr>
                <w:rFonts w:hint="eastAsia" w:ascii="仿宋" w:hAnsi="仿宋" w:eastAsia="仿宋"/>
                <w:sz w:val="24"/>
              </w:rPr>
            </w:pPr>
            <w:r>
              <w:rPr>
                <w:rFonts w:ascii="仿宋" w:hAnsi="仿宋" w:eastAsia="仿宋"/>
                <w:sz w:val="24"/>
              </w:rPr>
              <w:t>伦理审查受理管理：</w:t>
            </w:r>
          </w:p>
          <w:p>
            <w:pPr>
              <w:spacing w:line="360" w:lineRule="auto"/>
              <w:contextualSpacing/>
              <w:rPr>
                <w:rFonts w:hint="eastAsia" w:ascii="仿宋" w:hAnsi="仿宋" w:eastAsia="仿宋"/>
                <w:sz w:val="24"/>
              </w:rPr>
            </w:pPr>
            <w:r>
              <w:rPr>
                <w:rFonts w:ascii="仿宋" w:hAnsi="仿宋" w:eastAsia="仿宋"/>
                <w:sz w:val="24"/>
              </w:rPr>
              <w:t>支持伦理形式审查功能，支持在线发送伦理缴费通知。</w:t>
            </w:r>
          </w:p>
          <w:p>
            <w:pPr>
              <w:numPr>
                <w:ilvl w:val="0"/>
                <w:numId w:val="6"/>
              </w:numPr>
              <w:adjustRightInd w:val="0"/>
              <w:spacing w:line="360" w:lineRule="auto"/>
              <w:contextualSpacing/>
              <w:rPr>
                <w:rFonts w:hint="eastAsia" w:ascii="仿宋" w:hAnsi="仿宋" w:eastAsia="仿宋"/>
                <w:sz w:val="24"/>
              </w:rPr>
            </w:pPr>
            <w:r>
              <w:rPr>
                <w:rFonts w:ascii="仿宋" w:hAnsi="仿宋" w:eastAsia="仿宋"/>
                <w:bCs/>
                <w:kern w:val="0"/>
                <w:sz w:val="24"/>
              </w:rPr>
              <w:t>▲</w:t>
            </w:r>
            <w:r>
              <w:rPr>
                <w:rFonts w:ascii="仿宋" w:hAnsi="仿宋" w:eastAsia="仿宋"/>
                <w:sz w:val="24"/>
              </w:rPr>
              <w:t>伦理审查管理：</w:t>
            </w:r>
          </w:p>
          <w:p>
            <w:pPr>
              <w:spacing w:line="360" w:lineRule="auto"/>
              <w:contextualSpacing/>
              <w:rPr>
                <w:rFonts w:hint="eastAsia" w:ascii="仿宋" w:hAnsi="仿宋" w:eastAsia="仿宋"/>
                <w:sz w:val="24"/>
              </w:rPr>
            </w:pPr>
            <w:r>
              <w:rPr>
                <w:rFonts w:ascii="仿宋" w:hAnsi="仿宋" w:eastAsia="仿宋"/>
                <w:sz w:val="24"/>
              </w:rPr>
              <w:t>支持在线安排理主审委员和添加独立顾问；</w:t>
            </w:r>
          </w:p>
          <w:p>
            <w:pPr>
              <w:spacing w:line="360" w:lineRule="auto"/>
              <w:contextualSpacing/>
              <w:rPr>
                <w:rFonts w:hint="eastAsia" w:ascii="仿宋" w:hAnsi="仿宋" w:eastAsia="仿宋"/>
                <w:sz w:val="24"/>
              </w:rPr>
            </w:pPr>
            <w:r>
              <w:rPr>
                <w:rFonts w:ascii="仿宋" w:hAnsi="仿宋" w:eastAsia="仿宋"/>
                <w:sz w:val="24"/>
              </w:rPr>
              <w:t>伦理审查方式提供伦理会议审查、快速审查、紧急会议审查；</w:t>
            </w:r>
          </w:p>
          <w:p>
            <w:pPr>
              <w:spacing w:line="360" w:lineRule="auto"/>
              <w:contextualSpacing/>
              <w:rPr>
                <w:rFonts w:hint="eastAsia" w:ascii="仿宋" w:hAnsi="仿宋" w:eastAsia="仿宋"/>
                <w:sz w:val="24"/>
              </w:rPr>
            </w:pPr>
            <w:r>
              <w:rPr>
                <w:rFonts w:ascii="仿宋" w:hAnsi="仿宋" w:eastAsia="仿宋"/>
                <w:sz w:val="24"/>
              </w:rPr>
              <w:t>支持在线安排伦理会议，选择参会委员，通过CA认证完成参会签到，并提供在线投票和意见填写功能。</w:t>
            </w:r>
          </w:p>
          <w:p>
            <w:pPr>
              <w:numPr>
                <w:ilvl w:val="0"/>
                <w:numId w:val="6"/>
              </w:numPr>
              <w:adjustRightInd w:val="0"/>
              <w:spacing w:line="360" w:lineRule="auto"/>
              <w:contextualSpacing/>
              <w:rPr>
                <w:rFonts w:hint="eastAsia" w:ascii="仿宋" w:hAnsi="仿宋" w:eastAsia="仿宋"/>
                <w:sz w:val="24"/>
              </w:rPr>
            </w:pPr>
            <w:r>
              <w:rPr>
                <w:rFonts w:ascii="仿宋" w:hAnsi="仿宋" w:eastAsia="仿宋"/>
                <w:sz w:val="24"/>
              </w:rPr>
              <w:t>支持项目伦理跟踪审查和重复审查功能。</w:t>
            </w:r>
          </w:p>
          <w:p>
            <w:pPr>
              <w:numPr>
                <w:ilvl w:val="0"/>
                <w:numId w:val="6"/>
              </w:numPr>
              <w:adjustRightInd w:val="0"/>
              <w:spacing w:line="360" w:lineRule="auto"/>
              <w:contextualSpacing/>
              <w:rPr>
                <w:rFonts w:hint="eastAsia" w:ascii="仿宋" w:hAnsi="仿宋" w:eastAsia="仿宋"/>
                <w:sz w:val="24"/>
              </w:rPr>
            </w:pPr>
            <w:r>
              <w:rPr>
                <w:rFonts w:ascii="仿宋" w:hAnsi="仿宋" w:eastAsia="仿宋"/>
                <w:sz w:val="24"/>
              </w:rPr>
              <w:t>支持伦理委员管理，支持对委员资料、委任日期等管理。</w:t>
            </w:r>
          </w:p>
          <w:p>
            <w:pPr>
              <w:numPr>
                <w:ilvl w:val="0"/>
                <w:numId w:val="6"/>
              </w:numPr>
              <w:adjustRightInd w:val="0"/>
              <w:spacing w:line="360" w:lineRule="auto"/>
              <w:contextualSpacing/>
              <w:rPr>
                <w:rFonts w:hint="eastAsia" w:ascii="仿宋" w:hAnsi="仿宋" w:eastAsia="仿宋"/>
                <w:sz w:val="24"/>
              </w:rPr>
            </w:pPr>
            <w:r>
              <w:rPr>
                <w:rFonts w:ascii="仿宋" w:hAnsi="仿宋" w:eastAsia="仿宋"/>
                <w:sz w:val="24"/>
              </w:rPr>
              <w:t>支持伦理委员年度审查项目数、伦理会议出勤统计功能。</w:t>
            </w:r>
          </w:p>
          <w:p>
            <w:pPr>
              <w:numPr>
                <w:ilvl w:val="0"/>
                <w:numId w:val="6"/>
              </w:numPr>
              <w:adjustRightInd w:val="0"/>
              <w:spacing w:line="360" w:lineRule="auto"/>
              <w:contextualSpacing/>
              <w:rPr>
                <w:rFonts w:hint="eastAsia" w:ascii="仿宋" w:hAnsi="仿宋" w:eastAsia="仿宋"/>
                <w:sz w:val="24"/>
              </w:rPr>
            </w:pPr>
            <w:r>
              <w:rPr>
                <w:rFonts w:ascii="仿宋" w:hAnsi="仿宋" w:eastAsia="仿宋"/>
                <w:sz w:val="24"/>
              </w:rPr>
              <w:t>支持伦理备案管理功能。</w:t>
            </w:r>
          </w:p>
          <w:p>
            <w:pPr>
              <w:numPr>
                <w:ilvl w:val="0"/>
                <w:numId w:val="6"/>
              </w:numPr>
              <w:adjustRightInd w:val="0"/>
              <w:spacing w:line="360" w:lineRule="auto"/>
              <w:contextualSpacing/>
              <w:rPr>
                <w:rFonts w:hint="eastAsia" w:ascii="仿宋" w:hAnsi="仿宋" w:eastAsia="仿宋"/>
                <w:sz w:val="24"/>
              </w:rPr>
            </w:pPr>
            <w:r>
              <w:rPr>
                <w:rFonts w:ascii="仿宋" w:hAnsi="仿宋" w:eastAsia="仿宋"/>
                <w:b/>
                <w:bCs/>
                <w:color w:val="000000"/>
                <w:kern w:val="0"/>
                <w:sz w:val="24"/>
              </w:rPr>
              <w:t>#</w:t>
            </w:r>
            <w:r>
              <w:rPr>
                <w:rFonts w:ascii="仿宋" w:hAnsi="仿宋" w:eastAsia="仿宋"/>
                <w:sz w:val="24"/>
              </w:rPr>
              <w:t>支持伦理委员在线投票和通过扫描系统自动生成的二维码投票，并可实时查看投票结果。</w:t>
            </w:r>
          </w:p>
        </w:tc>
      </w:tr>
    </w:tbl>
    <w:p>
      <w:pPr>
        <w:spacing w:line="360" w:lineRule="auto"/>
        <w:contextualSpacing/>
        <w:outlineLvl w:val="1"/>
        <w:rPr>
          <w:rFonts w:hint="eastAsia" w:ascii="仿宋" w:hAnsi="仿宋" w:eastAsia="仿宋"/>
          <w:color w:val="000000"/>
          <w:sz w:val="24"/>
        </w:rPr>
      </w:pPr>
      <w:r>
        <w:rPr>
          <w:rFonts w:ascii="仿宋" w:hAnsi="仿宋" w:eastAsia="仿宋"/>
          <w:color w:val="000000"/>
          <w:sz w:val="24"/>
        </w:rPr>
        <w:t>3、临床</w:t>
      </w:r>
      <w:r>
        <w:rPr>
          <w:rFonts w:hint="eastAsia" w:ascii="仿宋" w:hAnsi="仿宋" w:eastAsia="仿宋"/>
          <w:color w:val="000000"/>
          <w:sz w:val="24"/>
        </w:rPr>
        <w:t>科研IIT数据采集及管理系统</w:t>
      </w:r>
      <w:r>
        <w:rPr>
          <w:rFonts w:ascii="仿宋" w:hAnsi="仿宋" w:eastAsia="仿宋"/>
          <w:color w:val="000000"/>
          <w:sz w:val="24"/>
        </w:rPr>
        <w:t>（功能需求）</w:t>
      </w:r>
    </w:p>
    <w:tbl>
      <w:tblPr>
        <w:tblStyle w:val="1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311"/>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6" w:type="dxa"/>
            <w:shd w:val="clear" w:color="000000" w:fill="D9D9D9"/>
            <w:vAlign w:val="center"/>
          </w:tcPr>
          <w:p>
            <w:pPr>
              <w:widowControl/>
              <w:adjustRightInd w:val="0"/>
              <w:spacing w:line="360" w:lineRule="auto"/>
              <w:contextualSpacing/>
              <w:rPr>
                <w:rFonts w:hint="eastAsia" w:ascii="仿宋" w:hAnsi="仿宋" w:eastAsia="仿宋"/>
                <w:b/>
                <w:color w:val="000000"/>
                <w:kern w:val="0"/>
                <w:sz w:val="24"/>
              </w:rPr>
            </w:pPr>
            <w:r>
              <w:rPr>
                <w:rFonts w:ascii="仿宋" w:hAnsi="仿宋" w:eastAsia="仿宋"/>
                <w:b/>
                <w:color w:val="000000"/>
                <w:kern w:val="0"/>
                <w:sz w:val="24"/>
              </w:rPr>
              <w:t>货物/服务名称</w:t>
            </w:r>
          </w:p>
        </w:tc>
        <w:tc>
          <w:tcPr>
            <w:tcW w:w="7221" w:type="dxa"/>
            <w:gridSpan w:val="2"/>
            <w:shd w:val="clear" w:color="000000" w:fill="D9D9D9"/>
            <w:vAlign w:val="center"/>
          </w:tcPr>
          <w:p>
            <w:pPr>
              <w:widowControl/>
              <w:adjustRightInd w:val="0"/>
              <w:spacing w:line="360" w:lineRule="auto"/>
              <w:contextualSpacing/>
              <w:jc w:val="center"/>
              <w:rPr>
                <w:rFonts w:hint="eastAsia" w:ascii="仿宋" w:hAnsi="仿宋" w:eastAsia="仿宋"/>
                <w:b/>
                <w:color w:val="000000"/>
                <w:kern w:val="0"/>
                <w:sz w:val="24"/>
              </w:rPr>
            </w:pPr>
            <w:r>
              <w:rPr>
                <w:rFonts w:ascii="仿宋" w:hAnsi="仿宋" w:eastAsia="仿宋"/>
                <w:b/>
                <w:color w:val="000000"/>
                <w:kern w:val="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6" w:type="dxa"/>
            <w:vMerge w:val="restart"/>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color w:val="000000"/>
                <w:sz w:val="24"/>
              </w:rPr>
              <w:t>1.临床</w:t>
            </w:r>
            <w:r>
              <w:rPr>
                <w:rFonts w:hint="eastAsia" w:ascii="仿宋" w:hAnsi="仿宋" w:eastAsia="仿宋"/>
                <w:bCs/>
                <w:color w:val="000000"/>
                <w:sz w:val="24"/>
              </w:rPr>
              <w:t>科研数据采集及</w:t>
            </w:r>
            <w:r>
              <w:rPr>
                <w:rFonts w:ascii="仿宋" w:hAnsi="仿宋" w:eastAsia="仿宋"/>
                <w:bCs/>
                <w:color w:val="000000"/>
                <w:sz w:val="24"/>
              </w:rPr>
              <w:t>管理</w:t>
            </w:r>
            <w:r>
              <w:rPr>
                <w:rFonts w:hint="eastAsia" w:ascii="仿宋" w:hAnsi="仿宋" w:eastAsia="仿宋"/>
                <w:bCs/>
                <w:color w:val="000000"/>
                <w:sz w:val="24"/>
              </w:rPr>
              <w:t>系统（重大升级）</w:t>
            </w:r>
          </w:p>
        </w:tc>
        <w:tc>
          <w:tcPr>
            <w:tcW w:w="1311" w:type="dxa"/>
            <w:vAlign w:val="center"/>
          </w:tcPr>
          <w:p>
            <w:pPr>
              <w:adjustRightInd w:val="0"/>
              <w:spacing w:line="360" w:lineRule="auto"/>
              <w:contextualSpacing/>
              <w:rPr>
                <w:rFonts w:hint="eastAsia" w:ascii="仿宋" w:hAnsi="仿宋" w:eastAsia="仿宋"/>
                <w:color w:val="000000"/>
                <w:sz w:val="24"/>
              </w:rPr>
            </w:pPr>
            <w:r>
              <w:rPr>
                <w:rFonts w:ascii="仿宋" w:hAnsi="仿宋" w:eastAsia="仿宋"/>
                <w:sz w:val="24"/>
              </w:rPr>
              <w:t>1.1 ePRO数据采集与管理</w:t>
            </w:r>
          </w:p>
        </w:tc>
        <w:tc>
          <w:tcPr>
            <w:tcW w:w="5910" w:type="dxa"/>
            <w:vAlign w:val="center"/>
          </w:tcPr>
          <w:p>
            <w:pPr>
              <w:numPr>
                <w:ilvl w:val="0"/>
                <w:numId w:val="7"/>
              </w:numPr>
              <w:adjustRightInd w:val="0"/>
              <w:spacing w:line="360" w:lineRule="auto"/>
              <w:contextualSpacing/>
              <w:rPr>
                <w:rFonts w:hint="eastAsia" w:ascii="仿宋" w:hAnsi="仿宋" w:eastAsia="仿宋"/>
                <w:sz w:val="24"/>
              </w:rPr>
            </w:pPr>
            <w:r>
              <w:rPr>
                <w:rFonts w:ascii="仿宋" w:hAnsi="仿宋" w:eastAsia="仿宋"/>
                <w:sz w:val="24"/>
              </w:rPr>
              <w:t>支持根据试验方案配置数据采集表单；</w:t>
            </w:r>
          </w:p>
          <w:p>
            <w:pPr>
              <w:numPr>
                <w:ilvl w:val="0"/>
                <w:numId w:val="7"/>
              </w:numPr>
              <w:adjustRightInd w:val="0"/>
              <w:spacing w:line="360" w:lineRule="auto"/>
              <w:contextualSpacing/>
              <w:rPr>
                <w:rFonts w:hint="eastAsia" w:ascii="仿宋" w:hAnsi="仿宋" w:eastAsia="仿宋"/>
                <w:sz w:val="24"/>
              </w:rPr>
            </w:pPr>
            <w:r>
              <w:rPr>
                <w:rFonts w:ascii="仿宋" w:hAnsi="仿宋" w:eastAsia="仿宋"/>
                <w:sz w:val="24"/>
              </w:rPr>
              <w:t>支持查看受试者表单填报情况；</w:t>
            </w:r>
          </w:p>
          <w:p>
            <w:pPr>
              <w:numPr>
                <w:ilvl w:val="0"/>
                <w:numId w:val="7"/>
              </w:numPr>
              <w:adjustRightInd w:val="0"/>
              <w:spacing w:line="360" w:lineRule="auto"/>
              <w:contextualSpacing/>
              <w:rPr>
                <w:rFonts w:hint="eastAsia" w:ascii="仿宋" w:hAnsi="仿宋" w:eastAsia="仿宋"/>
                <w:sz w:val="24"/>
              </w:rPr>
            </w:pPr>
            <w:r>
              <w:rPr>
                <w:rFonts w:ascii="仿宋" w:hAnsi="仿宋" w:eastAsia="仿宋"/>
                <w:sz w:val="24"/>
              </w:rPr>
              <w:t>支持数据补录管理。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6" w:type="dxa"/>
            <w:vMerge w:val="continue"/>
            <w:vAlign w:val="center"/>
          </w:tcPr>
          <w:p>
            <w:pPr>
              <w:adjustRightInd w:val="0"/>
              <w:spacing w:line="360" w:lineRule="auto"/>
              <w:contextualSpacing/>
              <w:rPr>
                <w:rFonts w:hint="eastAsia" w:ascii="仿宋" w:hAnsi="仿宋" w:eastAsia="仿宋"/>
                <w:bCs/>
                <w:color w:val="000000"/>
                <w:sz w:val="24"/>
              </w:rPr>
            </w:pPr>
          </w:p>
        </w:tc>
        <w:tc>
          <w:tcPr>
            <w:tcW w:w="1311" w:type="dxa"/>
            <w:vAlign w:val="center"/>
          </w:tcPr>
          <w:p>
            <w:pPr>
              <w:pStyle w:val="5"/>
              <w:spacing w:before="0" w:line="360" w:lineRule="auto"/>
              <w:contextualSpacing/>
              <w:rPr>
                <w:rFonts w:hint="eastAsia" w:ascii="仿宋" w:hAnsi="仿宋" w:eastAsia="仿宋"/>
              </w:rPr>
            </w:pPr>
            <w:r>
              <w:rPr>
                <w:rFonts w:ascii="仿宋" w:hAnsi="仿宋" w:eastAsia="仿宋"/>
              </w:rPr>
              <w:t>1.2电子研究病历移动端</w:t>
            </w:r>
          </w:p>
        </w:tc>
        <w:tc>
          <w:tcPr>
            <w:tcW w:w="5910" w:type="dxa"/>
            <w:vAlign w:val="center"/>
          </w:tcPr>
          <w:p>
            <w:pPr>
              <w:numPr>
                <w:ilvl w:val="0"/>
                <w:numId w:val="8"/>
              </w:numPr>
              <w:adjustRightInd w:val="0"/>
              <w:spacing w:line="360" w:lineRule="auto"/>
              <w:contextualSpacing/>
              <w:rPr>
                <w:rFonts w:hint="eastAsia" w:ascii="仿宋" w:hAnsi="仿宋" w:eastAsia="仿宋"/>
                <w:sz w:val="24"/>
              </w:rPr>
            </w:pPr>
            <w:r>
              <w:rPr>
                <w:rFonts w:ascii="仿宋" w:hAnsi="仿宋" w:eastAsia="仿宋"/>
                <w:sz w:val="24"/>
              </w:rPr>
              <w:t>支持受试者通过移动端在线填报试验数据；</w:t>
            </w:r>
          </w:p>
          <w:p>
            <w:pPr>
              <w:numPr>
                <w:ilvl w:val="0"/>
                <w:numId w:val="8"/>
              </w:numPr>
              <w:adjustRightInd w:val="0"/>
              <w:spacing w:line="360" w:lineRule="auto"/>
              <w:contextualSpacing/>
              <w:rPr>
                <w:rFonts w:hint="eastAsia" w:ascii="仿宋" w:hAnsi="仿宋" w:eastAsia="仿宋"/>
                <w:sz w:val="24"/>
              </w:rPr>
            </w:pPr>
            <w:r>
              <w:rPr>
                <w:rFonts w:ascii="仿宋" w:hAnsi="仿宋" w:eastAsia="仿宋"/>
                <w:sz w:val="24"/>
              </w:rPr>
              <w:t>支持受试者查看填报记录；</w:t>
            </w:r>
          </w:p>
          <w:p>
            <w:pPr>
              <w:numPr>
                <w:ilvl w:val="0"/>
                <w:numId w:val="8"/>
              </w:numPr>
              <w:adjustRightInd w:val="0"/>
              <w:spacing w:line="360" w:lineRule="auto"/>
              <w:contextualSpacing/>
              <w:rPr>
                <w:rFonts w:hint="eastAsia" w:ascii="仿宋" w:hAnsi="仿宋" w:eastAsia="仿宋"/>
                <w:sz w:val="24"/>
              </w:rPr>
            </w:pPr>
            <w:r>
              <w:rPr>
                <w:rFonts w:ascii="仿宋" w:hAnsi="仿宋" w:eastAsia="仿宋"/>
                <w:sz w:val="24"/>
              </w:rPr>
              <w:t>支持拍照上传图片；</w:t>
            </w:r>
          </w:p>
          <w:p>
            <w:pPr>
              <w:numPr>
                <w:ilvl w:val="0"/>
                <w:numId w:val="8"/>
              </w:numPr>
              <w:adjustRightInd w:val="0"/>
              <w:spacing w:line="360" w:lineRule="auto"/>
              <w:contextualSpacing/>
              <w:rPr>
                <w:rFonts w:hint="eastAsia" w:ascii="仿宋" w:hAnsi="仿宋" w:eastAsia="仿宋"/>
                <w:sz w:val="24"/>
              </w:rPr>
            </w:pPr>
            <w:r>
              <w:rPr>
                <w:rFonts w:ascii="仿宋" w:hAnsi="仿宋" w:eastAsia="仿宋"/>
                <w:sz w:val="24"/>
              </w:rPr>
              <w:t>支持OCR识别图片文字。</w:t>
            </w:r>
          </w:p>
        </w:tc>
      </w:tr>
    </w:tbl>
    <w:p>
      <w:pPr>
        <w:spacing w:line="360" w:lineRule="auto"/>
        <w:contextualSpacing/>
        <w:outlineLvl w:val="1"/>
        <w:rPr>
          <w:rFonts w:hint="eastAsia" w:ascii="仿宋" w:hAnsi="仿宋" w:eastAsia="仿宋"/>
          <w:color w:val="000000"/>
          <w:sz w:val="24"/>
        </w:rPr>
      </w:pPr>
      <w:r>
        <w:rPr>
          <w:rFonts w:ascii="仿宋" w:hAnsi="仿宋" w:eastAsia="仿宋"/>
          <w:color w:val="000000"/>
          <w:sz w:val="24"/>
        </w:rPr>
        <w:t>4、临床研究项目实施管理系统（功能需求）</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304"/>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shd w:val="clear" w:color="000000" w:fill="D9D9D9"/>
            <w:vAlign w:val="center"/>
          </w:tcPr>
          <w:p>
            <w:pPr>
              <w:widowControl/>
              <w:adjustRightInd w:val="0"/>
              <w:spacing w:line="360" w:lineRule="auto"/>
              <w:contextualSpacing/>
              <w:rPr>
                <w:rFonts w:hint="eastAsia" w:ascii="仿宋" w:hAnsi="仿宋" w:eastAsia="仿宋"/>
                <w:b/>
                <w:color w:val="000000"/>
                <w:kern w:val="0"/>
                <w:sz w:val="24"/>
              </w:rPr>
            </w:pPr>
            <w:r>
              <w:rPr>
                <w:rFonts w:ascii="仿宋" w:hAnsi="仿宋" w:eastAsia="仿宋"/>
                <w:b/>
                <w:color w:val="000000"/>
                <w:kern w:val="0"/>
                <w:sz w:val="24"/>
              </w:rPr>
              <w:t>货物/服务名称</w:t>
            </w:r>
          </w:p>
        </w:tc>
        <w:tc>
          <w:tcPr>
            <w:tcW w:w="7229" w:type="dxa"/>
            <w:gridSpan w:val="2"/>
            <w:shd w:val="clear" w:color="000000" w:fill="D9D9D9"/>
            <w:vAlign w:val="center"/>
          </w:tcPr>
          <w:p>
            <w:pPr>
              <w:widowControl/>
              <w:adjustRightInd w:val="0"/>
              <w:spacing w:line="360" w:lineRule="auto"/>
              <w:contextualSpacing/>
              <w:jc w:val="center"/>
              <w:rPr>
                <w:rFonts w:hint="eastAsia" w:ascii="仿宋" w:hAnsi="仿宋" w:eastAsia="仿宋"/>
                <w:b/>
                <w:color w:val="000000"/>
                <w:kern w:val="0"/>
                <w:sz w:val="24"/>
              </w:rPr>
            </w:pPr>
            <w:r>
              <w:rPr>
                <w:rFonts w:ascii="仿宋" w:hAnsi="仿宋" w:eastAsia="仿宋"/>
                <w:b/>
                <w:color w:val="000000"/>
                <w:kern w:val="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vMerge w:val="restart"/>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color w:val="000000"/>
                <w:sz w:val="24"/>
              </w:rPr>
              <w:t>1.临床研究项目实施管理系统</w:t>
            </w:r>
          </w:p>
        </w:tc>
        <w:tc>
          <w:tcPr>
            <w:tcW w:w="1304" w:type="dxa"/>
            <w:vAlign w:val="center"/>
          </w:tcPr>
          <w:p>
            <w:pPr>
              <w:spacing w:line="360" w:lineRule="auto"/>
              <w:contextualSpacing/>
              <w:jc w:val="left"/>
              <w:rPr>
                <w:rFonts w:hint="eastAsia" w:ascii="仿宋" w:hAnsi="仿宋" w:eastAsia="仿宋"/>
                <w:color w:val="000000"/>
                <w:sz w:val="24"/>
              </w:rPr>
            </w:pPr>
            <w:r>
              <w:rPr>
                <w:rFonts w:ascii="仿宋" w:hAnsi="仿宋" w:eastAsia="仿宋"/>
                <w:color w:val="000000"/>
                <w:sz w:val="24"/>
              </w:rPr>
              <w:t>1.1项目管理</w:t>
            </w:r>
          </w:p>
        </w:tc>
        <w:tc>
          <w:tcPr>
            <w:tcW w:w="5925" w:type="dxa"/>
            <w:vAlign w:val="center"/>
          </w:tcPr>
          <w:p>
            <w:pPr>
              <w:numPr>
                <w:ilvl w:val="0"/>
                <w:numId w:val="9"/>
              </w:numPr>
              <w:spacing w:line="360" w:lineRule="auto"/>
              <w:contextualSpacing/>
              <w:jc w:val="left"/>
              <w:rPr>
                <w:rFonts w:hint="eastAsia" w:ascii="仿宋" w:hAnsi="仿宋" w:eastAsia="仿宋"/>
                <w:color w:val="000000"/>
                <w:sz w:val="24"/>
              </w:rPr>
            </w:pPr>
            <w:r>
              <w:rPr>
                <w:rFonts w:ascii="仿宋" w:hAnsi="仿宋" w:eastAsia="仿宋"/>
                <w:color w:val="000000"/>
                <w:sz w:val="24"/>
              </w:rPr>
              <w:t>提供项目基本信息管理功能， 包括项目名称、编号、类别、申办方、CRO、研究方案摘要、状态等；</w:t>
            </w:r>
          </w:p>
          <w:p>
            <w:pPr>
              <w:numPr>
                <w:ilvl w:val="0"/>
                <w:numId w:val="9"/>
              </w:numPr>
              <w:spacing w:line="360" w:lineRule="auto"/>
              <w:contextualSpacing/>
              <w:jc w:val="left"/>
              <w:rPr>
                <w:rFonts w:hint="eastAsia" w:ascii="仿宋" w:hAnsi="仿宋" w:eastAsia="仿宋"/>
                <w:color w:val="000000"/>
                <w:sz w:val="24"/>
              </w:rPr>
            </w:pPr>
            <w:r>
              <w:rPr>
                <w:rFonts w:ascii="仿宋" w:hAnsi="仿宋" w:eastAsia="仿宋"/>
                <w:bCs/>
                <w:kern w:val="0"/>
                <w:sz w:val="24"/>
              </w:rPr>
              <w:t>▲</w:t>
            </w:r>
            <w:r>
              <w:rPr>
                <w:rFonts w:ascii="仿宋" w:hAnsi="仿宋" w:eastAsia="仿宋"/>
                <w:color w:val="000000"/>
                <w:sz w:val="24"/>
              </w:rPr>
              <w:t>支持项目生命周期的节点状态管理， 支持创建、新增、FPI、在研、LPO、试验结束等状态；</w:t>
            </w:r>
          </w:p>
          <w:p>
            <w:pPr>
              <w:numPr>
                <w:ilvl w:val="0"/>
                <w:numId w:val="9"/>
              </w:numPr>
              <w:spacing w:line="360" w:lineRule="auto"/>
              <w:contextualSpacing/>
              <w:jc w:val="left"/>
              <w:rPr>
                <w:rFonts w:hint="eastAsia" w:ascii="仿宋" w:hAnsi="仿宋" w:eastAsia="仿宋"/>
                <w:color w:val="000000"/>
                <w:sz w:val="24"/>
              </w:rPr>
            </w:pPr>
            <w:r>
              <w:rPr>
                <w:rFonts w:ascii="仿宋" w:hAnsi="仿宋" w:eastAsia="仿宋"/>
                <w:color w:val="000000"/>
                <w:sz w:val="24"/>
              </w:rPr>
              <w:t>提供项目参加人员， 包括PI、研究者、护士、药物管理员、CRC、CRA等；</w:t>
            </w:r>
          </w:p>
          <w:p>
            <w:pPr>
              <w:numPr>
                <w:ilvl w:val="0"/>
                <w:numId w:val="9"/>
              </w:numPr>
              <w:spacing w:line="360" w:lineRule="auto"/>
              <w:contextualSpacing/>
              <w:jc w:val="left"/>
              <w:rPr>
                <w:rFonts w:hint="eastAsia" w:ascii="仿宋" w:hAnsi="仿宋" w:eastAsia="仿宋"/>
                <w:color w:val="000000"/>
                <w:sz w:val="24"/>
              </w:rPr>
            </w:pPr>
            <w:r>
              <w:rPr>
                <w:rFonts w:ascii="仿宋" w:hAnsi="仿宋" w:eastAsia="仿宋"/>
                <w:color w:val="000000"/>
                <w:sz w:val="24"/>
              </w:rPr>
              <w:t xml:space="preserve">项目信息综合查询功能。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vMerge w:val="continue"/>
            <w:vAlign w:val="center"/>
          </w:tcPr>
          <w:p>
            <w:pPr>
              <w:adjustRightInd w:val="0"/>
              <w:spacing w:line="360" w:lineRule="auto"/>
              <w:contextualSpacing/>
              <w:rPr>
                <w:rFonts w:hint="eastAsia" w:ascii="仿宋" w:hAnsi="仿宋" w:eastAsia="仿宋"/>
                <w:bCs/>
                <w:color w:val="000000"/>
                <w:sz w:val="24"/>
              </w:rPr>
            </w:pPr>
          </w:p>
        </w:tc>
        <w:tc>
          <w:tcPr>
            <w:tcW w:w="1304" w:type="dxa"/>
            <w:vAlign w:val="center"/>
          </w:tcPr>
          <w:p>
            <w:pPr>
              <w:spacing w:line="360" w:lineRule="auto"/>
              <w:contextualSpacing/>
              <w:jc w:val="left"/>
              <w:rPr>
                <w:rFonts w:hint="eastAsia" w:ascii="仿宋" w:hAnsi="仿宋" w:eastAsia="仿宋"/>
                <w:color w:val="000000"/>
                <w:sz w:val="24"/>
              </w:rPr>
            </w:pPr>
            <w:r>
              <w:rPr>
                <w:rFonts w:ascii="仿宋" w:hAnsi="仿宋" w:eastAsia="仿宋"/>
                <w:color w:val="000000"/>
                <w:sz w:val="24"/>
              </w:rPr>
              <w:t>1.2方案参数管理</w:t>
            </w:r>
          </w:p>
        </w:tc>
        <w:tc>
          <w:tcPr>
            <w:tcW w:w="5925" w:type="dxa"/>
            <w:vAlign w:val="center"/>
          </w:tcPr>
          <w:p>
            <w:pPr>
              <w:spacing w:line="360" w:lineRule="auto"/>
              <w:contextualSpacing/>
              <w:jc w:val="left"/>
              <w:rPr>
                <w:rFonts w:hint="eastAsia" w:ascii="仿宋" w:hAnsi="仿宋" w:eastAsia="仿宋"/>
                <w:color w:val="000000"/>
                <w:sz w:val="24"/>
              </w:rPr>
            </w:pPr>
            <w:r>
              <w:rPr>
                <w:rFonts w:ascii="仿宋" w:hAnsi="仿宋" w:eastAsia="仿宋"/>
                <w:bCs/>
                <w:kern w:val="0"/>
                <w:sz w:val="24"/>
              </w:rPr>
              <w:t>▲</w:t>
            </w:r>
            <w:r>
              <w:rPr>
                <w:rFonts w:ascii="仿宋" w:hAnsi="仿宋" w:eastAsia="仿宋"/>
                <w:color w:val="000000"/>
                <w:sz w:val="24"/>
              </w:rPr>
              <w:t>提供基于临床研究方案的参数配置或定义功能，包括配置临床路径、随访、研究组别、检验检查、其它节自定义点及节点事务等。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vMerge w:val="continue"/>
            <w:vAlign w:val="center"/>
          </w:tcPr>
          <w:p>
            <w:pPr>
              <w:adjustRightInd w:val="0"/>
              <w:spacing w:line="360" w:lineRule="auto"/>
              <w:contextualSpacing/>
              <w:rPr>
                <w:rFonts w:hint="eastAsia" w:ascii="仿宋" w:hAnsi="仿宋" w:eastAsia="仿宋"/>
                <w:bCs/>
                <w:color w:val="000000"/>
                <w:sz w:val="24"/>
              </w:rPr>
            </w:pPr>
          </w:p>
        </w:tc>
        <w:tc>
          <w:tcPr>
            <w:tcW w:w="1304" w:type="dxa"/>
            <w:vAlign w:val="center"/>
          </w:tcPr>
          <w:p>
            <w:pPr>
              <w:spacing w:line="360" w:lineRule="auto"/>
              <w:contextualSpacing/>
              <w:jc w:val="left"/>
              <w:rPr>
                <w:rFonts w:hint="eastAsia" w:ascii="仿宋" w:hAnsi="仿宋" w:eastAsia="仿宋"/>
                <w:color w:val="000000"/>
                <w:sz w:val="24"/>
              </w:rPr>
            </w:pPr>
            <w:r>
              <w:rPr>
                <w:rFonts w:ascii="仿宋" w:hAnsi="仿宋" w:eastAsia="仿宋"/>
                <w:color w:val="000000"/>
                <w:sz w:val="24"/>
              </w:rPr>
              <w:t>1.3人员权限管理</w:t>
            </w:r>
          </w:p>
        </w:tc>
        <w:tc>
          <w:tcPr>
            <w:tcW w:w="5925" w:type="dxa"/>
            <w:vAlign w:val="center"/>
          </w:tcPr>
          <w:p>
            <w:pPr>
              <w:spacing w:line="360" w:lineRule="auto"/>
              <w:contextualSpacing/>
              <w:jc w:val="left"/>
              <w:rPr>
                <w:rFonts w:hint="eastAsia" w:ascii="仿宋" w:hAnsi="仿宋" w:eastAsia="仿宋"/>
                <w:color w:val="000000"/>
                <w:sz w:val="24"/>
              </w:rPr>
            </w:pPr>
            <w:r>
              <w:rPr>
                <w:rFonts w:ascii="仿宋" w:hAnsi="仿宋" w:eastAsia="仿宋"/>
                <w:color w:val="000000"/>
                <w:sz w:val="24"/>
              </w:rPr>
              <w:t>提供可按角色定义的人员权限管理，可根据需要定义用户组包括PI、研究者、研究助理、CRC、CRA、质量管理、药品管理等。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vMerge w:val="continue"/>
            <w:vAlign w:val="center"/>
          </w:tcPr>
          <w:p>
            <w:pPr>
              <w:adjustRightInd w:val="0"/>
              <w:spacing w:line="360" w:lineRule="auto"/>
              <w:contextualSpacing/>
              <w:rPr>
                <w:rFonts w:hint="eastAsia" w:ascii="仿宋" w:hAnsi="仿宋" w:eastAsia="仿宋"/>
                <w:bCs/>
                <w:color w:val="000000"/>
                <w:sz w:val="24"/>
              </w:rPr>
            </w:pPr>
          </w:p>
        </w:tc>
        <w:tc>
          <w:tcPr>
            <w:tcW w:w="1304" w:type="dxa"/>
            <w:vAlign w:val="center"/>
          </w:tcPr>
          <w:p>
            <w:pPr>
              <w:spacing w:line="360" w:lineRule="auto"/>
              <w:contextualSpacing/>
              <w:jc w:val="left"/>
              <w:rPr>
                <w:rFonts w:hint="eastAsia" w:ascii="仿宋" w:hAnsi="仿宋" w:eastAsia="仿宋"/>
                <w:color w:val="000000"/>
                <w:sz w:val="24"/>
              </w:rPr>
            </w:pPr>
            <w:r>
              <w:rPr>
                <w:rFonts w:ascii="仿宋" w:hAnsi="仿宋" w:eastAsia="仿宋"/>
                <w:color w:val="000000"/>
                <w:sz w:val="24"/>
              </w:rPr>
              <w:t>1.4受试者管理</w:t>
            </w:r>
          </w:p>
        </w:tc>
        <w:tc>
          <w:tcPr>
            <w:tcW w:w="5925" w:type="dxa"/>
            <w:vAlign w:val="center"/>
          </w:tcPr>
          <w:p>
            <w:pPr>
              <w:numPr>
                <w:ilvl w:val="0"/>
                <w:numId w:val="10"/>
              </w:numPr>
              <w:spacing w:line="360" w:lineRule="auto"/>
              <w:contextualSpacing/>
              <w:jc w:val="left"/>
              <w:rPr>
                <w:rFonts w:hint="eastAsia" w:ascii="仿宋" w:hAnsi="仿宋" w:eastAsia="仿宋"/>
                <w:color w:val="000000"/>
                <w:sz w:val="24"/>
              </w:rPr>
            </w:pPr>
            <w:r>
              <w:rPr>
                <w:rFonts w:ascii="仿宋" w:hAnsi="仿宋" w:eastAsia="仿宋"/>
                <w:bCs/>
                <w:kern w:val="0"/>
                <w:sz w:val="24"/>
              </w:rPr>
              <w:t>▲</w:t>
            </w:r>
            <w:r>
              <w:rPr>
                <w:rFonts w:ascii="仿宋" w:hAnsi="仿宋" w:eastAsia="仿宋"/>
                <w:color w:val="000000"/>
                <w:sz w:val="24"/>
              </w:rPr>
              <w:t>提供各类状态对受试者筛选、入组、剔除、脱落、出组等实行全过程跟踪和管理；</w:t>
            </w:r>
          </w:p>
          <w:p>
            <w:pPr>
              <w:numPr>
                <w:ilvl w:val="0"/>
                <w:numId w:val="10"/>
              </w:numPr>
              <w:spacing w:line="360" w:lineRule="auto"/>
              <w:contextualSpacing/>
              <w:jc w:val="left"/>
              <w:rPr>
                <w:rFonts w:hint="eastAsia" w:ascii="仿宋" w:hAnsi="仿宋" w:eastAsia="仿宋"/>
                <w:color w:val="000000"/>
                <w:sz w:val="24"/>
              </w:rPr>
            </w:pPr>
            <w:r>
              <w:rPr>
                <w:rFonts w:ascii="仿宋" w:hAnsi="仿宋" w:eastAsia="仿宋"/>
                <w:color w:val="000000"/>
                <w:sz w:val="24"/>
              </w:rPr>
              <w:t>项目受试者知情同意、筛选及入组进展的管理；</w:t>
            </w:r>
          </w:p>
          <w:p>
            <w:pPr>
              <w:numPr>
                <w:ilvl w:val="0"/>
                <w:numId w:val="10"/>
              </w:numPr>
              <w:spacing w:line="360" w:lineRule="auto"/>
              <w:contextualSpacing/>
              <w:jc w:val="left"/>
              <w:rPr>
                <w:rFonts w:hint="eastAsia" w:ascii="仿宋" w:hAnsi="仿宋" w:eastAsia="仿宋"/>
                <w:color w:val="000000"/>
                <w:sz w:val="24"/>
              </w:rPr>
            </w:pPr>
            <w:r>
              <w:rPr>
                <w:rFonts w:ascii="仿宋" w:hAnsi="仿宋" w:eastAsia="仿宋"/>
                <w:bCs/>
                <w:kern w:val="0"/>
                <w:sz w:val="24"/>
              </w:rPr>
              <w:t>▲</w:t>
            </w:r>
            <w:r>
              <w:rPr>
                <w:rFonts w:ascii="仿宋" w:hAnsi="仿宋" w:eastAsia="仿宋"/>
                <w:color w:val="000000"/>
                <w:sz w:val="24"/>
              </w:rPr>
              <w:t>提供受试者现状查询功能；</w:t>
            </w:r>
          </w:p>
          <w:p>
            <w:pPr>
              <w:numPr>
                <w:ilvl w:val="0"/>
                <w:numId w:val="10"/>
              </w:numPr>
              <w:spacing w:line="360" w:lineRule="auto"/>
              <w:contextualSpacing/>
              <w:jc w:val="left"/>
              <w:rPr>
                <w:rFonts w:hint="eastAsia" w:ascii="仿宋" w:hAnsi="仿宋" w:eastAsia="仿宋"/>
                <w:color w:val="000000"/>
                <w:sz w:val="24"/>
              </w:rPr>
            </w:pPr>
            <w:r>
              <w:rPr>
                <w:rFonts w:ascii="仿宋" w:hAnsi="仿宋" w:eastAsia="仿宋"/>
                <w:color w:val="000000"/>
                <w:sz w:val="24"/>
              </w:rPr>
              <w:t>按照试验方案自动生成受试者计划医嘱，自动同步到EMR（包含检验、检查、药品等计划医嘱）。</w:t>
            </w:r>
          </w:p>
          <w:p>
            <w:pPr>
              <w:numPr>
                <w:ilvl w:val="0"/>
                <w:numId w:val="10"/>
              </w:numPr>
              <w:spacing w:line="360" w:lineRule="auto"/>
              <w:contextualSpacing/>
              <w:jc w:val="left"/>
              <w:rPr>
                <w:rFonts w:hint="eastAsia" w:ascii="仿宋" w:hAnsi="仿宋" w:eastAsia="仿宋"/>
                <w:color w:val="000000"/>
                <w:sz w:val="24"/>
              </w:rPr>
            </w:pPr>
            <w:r>
              <w:rPr>
                <w:rFonts w:ascii="仿宋" w:hAnsi="仿宋" w:eastAsia="仿宋"/>
                <w:color w:val="000000"/>
                <w:sz w:val="24"/>
              </w:rPr>
              <w:t>合并用药信息查询。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vMerge w:val="continue"/>
            <w:vAlign w:val="center"/>
          </w:tcPr>
          <w:p>
            <w:pPr>
              <w:adjustRightInd w:val="0"/>
              <w:spacing w:line="360" w:lineRule="auto"/>
              <w:contextualSpacing/>
              <w:rPr>
                <w:rFonts w:hint="eastAsia" w:ascii="仿宋" w:hAnsi="仿宋" w:eastAsia="仿宋"/>
                <w:bCs/>
                <w:color w:val="000000"/>
                <w:sz w:val="24"/>
              </w:rPr>
            </w:pPr>
          </w:p>
        </w:tc>
        <w:tc>
          <w:tcPr>
            <w:tcW w:w="1304" w:type="dxa"/>
            <w:vAlign w:val="center"/>
          </w:tcPr>
          <w:p>
            <w:pPr>
              <w:spacing w:line="360" w:lineRule="auto"/>
              <w:contextualSpacing/>
              <w:jc w:val="left"/>
              <w:rPr>
                <w:rFonts w:hint="eastAsia" w:ascii="仿宋" w:hAnsi="仿宋" w:eastAsia="仿宋"/>
                <w:color w:val="000000"/>
                <w:sz w:val="24"/>
              </w:rPr>
            </w:pPr>
            <w:r>
              <w:rPr>
                <w:rFonts w:ascii="仿宋" w:hAnsi="仿宋" w:eastAsia="仿宋"/>
                <w:color w:val="000000"/>
                <w:sz w:val="24"/>
              </w:rPr>
              <w:t>1.5随访管理</w:t>
            </w:r>
          </w:p>
        </w:tc>
        <w:tc>
          <w:tcPr>
            <w:tcW w:w="5925" w:type="dxa"/>
            <w:vAlign w:val="center"/>
          </w:tcPr>
          <w:p>
            <w:pPr>
              <w:numPr>
                <w:ilvl w:val="0"/>
                <w:numId w:val="11"/>
              </w:numPr>
              <w:spacing w:line="360" w:lineRule="auto"/>
              <w:contextualSpacing/>
              <w:jc w:val="left"/>
              <w:rPr>
                <w:rFonts w:hint="eastAsia" w:ascii="仿宋" w:hAnsi="仿宋" w:eastAsia="仿宋"/>
                <w:color w:val="000000"/>
                <w:sz w:val="24"/>
              </w:rPr>
            </w:pPr>
            <w:r>
              <w:rPr>
                <w:rFonts w:ascii="仿宋" w:hAnsi="仿宋" w:eastAsia="仿宋"/>
                <w:bCs/>
                <w:kern w:val="0"/>
                <w:sz w:val="24"/>
              </w:rPr>
              <w:t>▲</w:t>
            </w:r>
            <w:r>
              <w:rPr>
                <w:rFonts w:ascii="仿宋" w:hAnsi="仿宋" w:eastAsia="仿宋"/>
                <w:color w:val="000000"/>
                <w:sz w:val="24"/>
              </w:rPr>
              <w:t>提供受试者随访预约管理功能；</w:t>
            </w:r>
          </w:p>
          <w:p>
            <w:pPr>
              <w:numPr>
                <w:ilvl w:val="0"/>
                <w:numId w:val="11"/>
              </w:numPr>
              <w:spacing w:line="360" w:lineRule="auto"/>
              <w:contextualSpacing/>
              <w:jc w:val="left"/>
              <w:rPr>
                <w:rFonts w:hint="eastAsia" w:ascii="仿宋" w:hAnsi="仿宋" w:eastAsia="仿宋"/>
                <w:color w:val="000000"/>
                <w:sz w:val="24"/>
              </w:rPr>
            </w:pPr>
            <w:r>
              <w:rPr>
                <w:rFonts w:ascii="仿宋" w:hAnsi="仿宋" w:eastAsia="仿宋"/>
                <w:color w:val="000000"/>
                <w:sz w:val="24"/>
              </w:rPr>
              <w:t>通过研究日历、手机短信、微信等工具提示研究者的受试者随访及随访需要完成的事务；</w:t>
            </w:r>
          </w:p>
          <w:p>
            <w:pPr>
              <w:numPr>
                <w:ilvl w:val="0"/>
                <w:numId w:val="11"/>
              </w:numPr>
              <w:spacing w:line="360" w:lineRule="auto"/>
              <w:contextualSpacing/>
              <w:jc w:val="left"/>
              <w:rPr>
                <w:rFonts w:hint="eastAsia" w:ascii="仿宋" w:hAnsi="仿宋" w:eastAsia="仿宋"/>
                <w:color w:val="000000"/>
                <w:sz w:val="24"/>
              </w:rPr>
            </w:pPr>
            <w:r>
              <w:rPr>
                <w:rFonts w:ascii="仿宋" w:hAnsi="仿宋" w:eastAsia="仿宋"/>
                <w:b/>
                <w:bCs/>
                <w:color w:val="000000"/>
                <w:kern w:val="0"/>
                <w:sz w:val="24"/>
              </w:rPr>
              <w:t>#</w:t>
            </w:r>
            <w:r>
              <w:rPr>
                <w:rFonts w:ascii="仿宋" w:hAnsi="仿宋" w:eastAsia="仿宋"/>
                <w:color w:val="000000"/>
                <w:sz w:val="24"/>
              </w:rPr>
              <w:t>提供随访事务完成记录， 包括受试者用药医嘱、检验检查医嘱等；</w:t>
            </w:r>
          </w:p>
          <w:p>
            <w:pPr>
              <w:numPr>
                <w:ilvl w:val="0"/>
                <w:numId w:val="11"/>
              </w:numPr>
              <w:spacing w:line="360" w:lineRule="auto"/>
              <w:contextualSpacing/>
              <w:jc w:val="left"/>
              <w:rPr>
                <w:rFonts w:hint="eastAsia" w:ascii="仿宋" w:hAnsi="仿宋" w:eastAsia="仿宋"/>
                <w:color w:val="000000"/>
                <w:sz w:val="24"/>
              </w:rPr>
            </w:pPr>
            <w:r>
              <w:rPr>
                <w:rFonts w:ascii="仿宋" w:hAnsi="仿宋" w:eastAsia="仿宋"/>
                <w:b/>
                <w:bCs/>
                <w:color w:val="000000"/>
                <w:kern w:val="0"/>
                <w:sz w:val="24"/>
              </w:rPr>
              <w:t>#</w:t>
            </w:r>
            <w:r>
              <w:rPr>
                <w:rFonts w:ascii="仿宋" w:hAnsi="仿宋" w:eastAsia="仿宋"/>
                <w:color w:val="000000"/>
                <w:sz w:val="24"/>
              </w:rPr>
              <w:t>支持非计划随访，并记录相关的情况。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vMerge w:val="continue"/>
            <w:vAlign w:val="center"/>
          </w:tcPr>
          <w:p>
            <w:pPr>
              <w:adjustRightInd w:val="0"/>
              <w:spacing w:line="360" w:lineRule="auto"/>
              <w:contextualSpacing/>
              <w:rPr>
                <w:rFonts w:hint="eastAsia" w:ascii="仿宋" w:hAnsi="仿宋" w:eastAsia="仿宋"/>
                <w:bCs/>
                <w:color w:val="000000"/>
                <w:sz w:val="24"/>
              </w:rPr>
            </w:pPr>
          </w:p>
        </w:tc>
        <w:tc>
          <w:tcPr>
            <w:tcW w:w="1304" w:type="dxa"/>
            <w:vAlign w:val="center"/>
          </w:tcPr>
          <w:p>
            <w:pPr>
              <w:spacing w:line="360" w:lineRule="auto"/>
              <w:contextualSpacing/>
              <w:jc w:val="left"/>
              <w:rPr>
                <w:rFonts w:hint="eastAsia" w:ascii="仿宋" w:hAnsi="仿宋" w:eastAsia="仿宋"/>
                <w:color w:val="000000"/>
                <w:sz w:val="24"/>
              </w:rPr>
            </w:pPr>
            <w:r>
              <w:rPr>
                <w:rFonts w:ascii="仿宋" w:hAnsi="仿宋" w:eastAsia="仿宋"/>
                <w:color w:val="000000"/>
                <w:sz w:val="24"/>
              </w:rPr>
              <w:t>1.6免费检验检查管理</w:t>
            </w:r>
          </w:p>
        </w:tc>
        <w:tc>
          <w:tcPr>
            <w:tcW w:w="5925" w:type="dxa"/>
            <w:vAlign w:val="center"/>
          </w:tcPr>
          <w:p>
            <w:pPr>
              <w:numPr>
                <w:ilvl w:val="0"/>
                <w:numId w:val="12"/>
              </w:numPr>
              <w:spacing w:line="360" w:lineRule="auto"/>
              <w:contextualSpacing/>
              <w:jc w:val="left"/>
              <w:rPr>
                <w:rFonts w:hint="eastAsia" w:ascii="仿宋" w:hAnsi="仿宋" w:eastAsia="仿宋"/>
                <w:color w:val="000000"/>
                <w:sz w:val="24"/>
              </w:rPr>
            </w:pPr>
            <w:r>
              <w:rPr>
                <w:rFonts w:ascii="仿宋" w:hAnsi="仿宋" w:eastAsia="仿宋"/>
                <w:b/>
                <w:bCs/>
                <w:color w:val="000000"/>
                <w:kern w:val="0"/>
                <w:sz w:val="24"/>
              </w:rPr>
              <w:t>#</w:t>
            </w:r>
            <w:r>
              <w:rPr>
                <w:rFonts w:ascii="仿宋" w:hAnsi="仿宋" w:eastAsia="仿宋"/>
                <w:color w:val="000000"/>
                <w:sz w:val="24"/>
              </w:rPr>
              <w:t>基于研究方案配置检验检查项；</w:t>
            </w:r>
          </w:p>
          <w:p>
            <w:pPr>
              <w:numPr>
                <w:ilvl w:val="0"/>
                <w:numId w:val="12"/>
              </w:numPr>
              <w:spacing w:line="360" w:lineRule="auto"/>
              <w:contextualSpacing/>
              <w:jc w:val="left"/>
              <w:rPr>
                <w:rFonts w:hint="eastAsia" w:ascii="仿宋" w:hAnsi="仿宋" w:eastAsia="仿宋"/>
                <w:color w:val="000000"/>
                <w:sz w:val="24"/>
              </w:rPr>
            </w:pPr>
            <w:r>
              <w:rPr>
                <w:rFonts w:ascii="仿宋" w:hAnsi="仿宋" w:eastAsia="仿宋"/>
                <w:color w:val="000000"/>
                <w:sz w:val="24"/>
              </w:rPr>
              <w:t>与院内电子病例等医生工作站对接，实现免费检验检查的配置和管理；</w:t>
            </w:r>
          </w:p>
          <w:p>
            <w:pPr>
              <w:numPr>
                <w:ilvl w:val="0"/>
                <w:numId w:val="12"/>
              </w:numPr>
              <w:spacing w:line="360" w:lineRule="auto"/>
              <w:contextualSpacing/>
              <w:jc w:val="left"/>
              <w:rPr>
                <w:rFonts w:hint="eastAsia" w:ascii="仿宋" w:hAnsi="仿宋" w:eastAsia="仿宋"/>
                <w:color w:val="000000"/>
                <w:sz w:val="24"/>
              </w:rPr>
            </w:pPr>
            <w:r>
              <w:rPr>
                <w:rFonts w:ascii="仿宋" w:hAnsi="仿宋" w:eastAsia="仿宋"/>
                <w:color w:val="000000"/>
                <w:sz w:val="24"/>
              </w:rPr>
              <w:t>根据试验执行情况定期计算经费开支，与检验或财务科室等实现财务信息交互；</w:t>
            </w:r>
          </w:p>
          <w:p>
            <w:pPr>
              <w:numPr>
                <w:ilvl w:val="0"/>
                <w:numId w:val="12"/>
              </w:numPr>
              <w:spacing w:line="360" w:lineRule="auto"/>
              <w:contextualSpacing/>
              <w:jc w:val="left"/>
              <w:rPr>
                <w:rFonts w:hint="eastAsia" w:ascii="仿宋" w:hAnsi="仿宋" w:eastAsia="仿宋"/>
                <w:color w:val="000000"/>
                <w:sz w:val="24"/>
              </w:rPr>
            </w:pPr>
            <w:r>
              <w:rPr>
                <w:rFonts w:ascii="仿宋" w:hAnsi="仿宋" w:eastAsia="仿宋"/>
                <w:b/>
                <w:bCs/>
                <w:color w:val="000000"/>
                <w:kern w:val="0"/>
                <w:sz w:val="24"/>
              </w:rPr>
              <w:t>#</w:t>
            </w:r>
            <w:r>
              <w:rPr>
                <w:rFonts w:ascii="仿宋" w:hAnsi="仿宋" w:eastAsia="仿宋"/>
                <w:color w:val="000000"/>
                <w:sz w:val="24"/>
              </w:rPr>
              <w:t>提供临床试验检验检查报表，可查询受试者免费检验检查的流水明细。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vMerge w:val="continue"/>
            <w:vAlign w:val="center"/>
          </w:tcPr>
          <w:p>
            <w:pPr>
              <w:adjustRightInd w:val="0"/>
              <w:spacing w:line="360" w:lineRule="auto"/>
              <w:contextualSpacing/>
              <w:rPr>
                <w:rFonts w:hint="eastAsia" w:ascii="仿宋" w:hAnsi="仿宋" w:eastAsia="仿宋"/>
                <w:bCs/>
                <w:color w:val="000000"/>
                <w:sz w:val="24"/>
              </w:rPr>
            </w:pPr>
          </w:p>
        </w:tc>
        <w:tc>
          <w:tcPr>
            <w:tcW w:w="1304" w:type="dxa"/>
            <w:vAlign w:val="center"/>
          </w:tcPr>
          <w:p>
            <w:pPr>
              <w:spacing w:line="360" w:lineRule="auto"/>
              <w:contextualSpacing/>
              <w:jc w:val="left"/>
              <w:rPr>
                <w:rFonts w:hint="eastAsia" w:ascii="仿宋" w:hAnsi="仿宋" w:eastAsia="仿宋"/>
                <w:color w:val="000000"/>
                <w:sz w:val="24"/>
              </w:rPr>
            </w:pPr>
            <w:r>
              <w:rPr>
                <w:rFonts w:ascii="仿宋" w:hAnsi="仿宋" w:eastAsia="仿宋"/>
                <w:color w:val="000000"/>
                <w:sz w:val="24"/>
              </w:rPr>
              <w:t>1.7项目文档管理</w:t>
            </w:r>
          </w:p>
        </w:tc>
        <w:tc>
          <w:tcPr>
            <w:tcW w:w="5925" w:type="dxa"/>
            <w:vAlign w:val="center"/>
          </w:tcPr>
          <w:p>
            <w:pPr>
              <w:numPr>
                <w:ilvl w:val="0"/>
                <w:numId w:val="13"/>
              </w:numPr>
              <w:spacing w:line="360" w:lineRule="auto"/>
              <w:ind w:left="420"/>
              <w:contextualSpacing/>
              <w:jc w:val="left"/>
              <w:rPr>
                <w:rFonts w:hint="eastAsia" w:ascii="仿宋" w:hAnsi="仿宋" w:eastAsia="仿宋"/>
                <w:color w:val="000000"/>
                <w:sz w:val="24"/>
              </w:rPr>
            </w:pPr>
            <w:r>
              <w:rPr>
                <w:rFonts w:ascii="仿宋" w:hAnsi="仿宋" w:eastAsia="仿宋"/>
                <w:color w:val="000000"/>
                <w:sz w:val="24"/>
              </w:rPr>
              <w:t>提供研究者项目电子文件夹管理功能</w:t>
            </w:r>
          </w:p>
          <w:p>
            <w:pPr>
              <w:numPr>
                <w:ilvl w:val="0"/>
                <w:numId w:val="13"/>
              </w:numPr>
              <w:spacing w:line="360" w:lineRule="auto"/>
              <w:ind w:left="420"/>
              <w:contextualSpacing/>
              <w:jc w:val="left"/>
              <w:rPr>
                <w:rFonts w:hint="eastAsia" w:ascii="仿宋" w:hAnsi="仿宋" w:eastAsia="仿宋"/>
                <w:color w:val="000000"/>
                <w:sz w:val="24"/>
              </w:rPr>
            </w:pPr>
            <w:r>
              <w:rPr>
                <w:rFonts w:ascii="仿宋" w:hAnsi="仿宋" w:eastAsia="仿宋"/>
                <w:color w:val="000000"/>
                <w:sz w:val="24"/>
              </w:rPr>
              <w:t xml:space="preserve">文件查阅需基于用户权限进行管理，只有授权人员才可以查阅。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vMerge w:val="continue"/>
            <w:vAlign w:val="center"/>
          </w:tcPr>
          <w:p>
            <w:pPr>
              <w:adjustRightInd w:val="0"/>
              <w:spacing w:line="360" w:lineRule="auto"/>
              <w:contextualSpacing/>
              <w:rPr>
                <w:rFonts w:hint="eastAsia" w:ascii="仿宋" w:hAnsi="仿宋" w:eastAsia="仿宋"/>
                <w:bCs/>
                <w:color w:val="000000"/>
                <w:sz w:val="24"/>
              </w:rPr>
            </w:pPr>
          </w:p>
        </w:tc>
        <w:tc>
          <w:tcPr>
            <w:tcW w:w="1304" w:type="dxa"/>
            <w:vAlign w:val="center"/>
          </w:tcPr>
          <w:p>
            <w:pPr>
              <w:spacing w:line="360" w:lineRule="auto"/>
              <w:contextualSpacing/>
              <w:jc w:val="left"/>
              <w:rPr>
                <w:rFonts w:hint="eastAsia" w:ascii="仿宋" w:hAnsi="仿宋" w:eastAsia="仿宋"/>
                <w:color w:val="000000"/>
                <w:sz w:val="24"/>
              </w:rPr>
            </w:pPr>
            <w:r>
              <w:rPr>
                <w:rFonts w:ascii="仿宋" w:hAnsi="仿宋" w:eastAsia="仿宋"/>
                <w:color w:val="000000"/>
                <w:sz w:val="24"/>
              </w:rPr>
              <w:t>1.8AE/SAE自动判定</w:t>
            </w:r>
          </w:p>
        </w:tc>
        <w:tc>
          <w:tcPr>
            <w:tcW w:w="5925" w:type="dxa"/>
            <w:vAlign w:val="center"/>
          </w:tcPr>
          <w:p>
            <w:pPr>
              <w:numPr>
                <w:ilvl w:val="0"/>
                <w:numId w:val="14"/>
              </w:numPr>
              <w:spacing w:line="360" w:lineRule="auto"/>
              <w:contextualSpacing/>
              <w:jc w:val="left"/>
              <w:rPr>
                <w:rFonts w:hint="eastAsia" w:ascii="仿宋" w:hAnsi="仿宋" w:eastAsia="仿宋"/>
                <w:kern w:val="0"/>
                <w:sz w:val="24"/>
              </w:rPr>
            </w:pPr>
            <w:r>
              <w:rPr>
                <w:rFonts w:ascii="仿宋" w:hAnsi="仿宋" w:eastAsia="仿宋"/>
                <w:kern w:val="0"/>
                <w:sz w:val="24"/>
              </w:rPr>
              <w:t>支持获取受试者研究数据，包含受试者门诊住院记录、检验检测报告等；</w:t>
            </w:r>
          </w:p>
          <w:p>
            <w:pPr>
              <w:numPr>
                <w:ilvl w:val="0"/>
                <w:numId w:val="14"/>
              </w:numPr>
              <w:spacing w:line="360" w:lineRule="auto"/>
              <w:contextualSpacing/>
              <w:jc w:val="left"/>
              <w:rPr>
                <w:rFonts w:hint="eastAsia" w:ascii="仿宋" w:hAnsi="仿宋" w:eastAsia="仿宋"/>
                <w:kern w:val="0"/>
                <w:sz w:val="24"/>
              </w:rPr>
            </w:pPr>
            <w:r>
              <w:rPr>
                <w:rFonts w:ascii="仿宋" w:hAnsi="仿宋" w:eastAsia="仿宋"/>
                <w:kern w:val="0"/>
                <w:sz w:val="24"/>
              </w:rPr>
              <w:t>支持导入AE/SAE判定标准；</w:t>
            </w:r>
          </w:p>
          <w:p>
            <w:pPr>
              <w:numPr>
                <w:ilvl w:val="0"/>
                <w:numId w:val="14"/>
              </w:numPr>
              <w:spacing w:line="360" w:lineRule="auto"/>
              <w:contextualSpacing/>
              <w:jc w:val="left"/>
              <w:rPr>
                <w:rFonts w:hint="eastAsia" w:ascii="仿宋" w:hAnsi="仿宋" w:eastAsia="仿宋"/>
                <w:kern w:val="0"/>
                <w:sz w:val="24"/>
              </w:rPr>
            </w:pPr>
            <w:r>
              <w:rPr>
                <w:rFonts w:ascii="仿宋" w:hAnsi="仿宋" w:eastAsia="仿宋"/>
                <w:b/>
                <w:bCs/>
                <w:color w:val="000000"/>
                <w:kern w:val="0"/>
                <w:sz w:val="24"/>
              </w:rPr>
              <w:t>#</w:t>
            </w:r>
            <w:r>
              <w:rPr>
                <w:rFonts w:ascii="仿宋" w:hAnsi="仿宋" w:eastAsia="仿宋"/>
                <w:kern w:val="0"/>
                <w:sz w:val="24"/>
              </w:rPr>
              <w:t>支持CTCAE分级标准；</w:t>
            </w:r>
          </w:p>
          <w:p>
            <w:pPr>
              <w:numPr>
                <w:ilvl w:val="0"/>
                <w:numId w:val="14"/>
              </w:numPr>
              <w:spacing w:line="360" w:lineRule="auto"/>
              <w:contextualSpacing/>
              <w:jc w:val="left"/>
              <w:rPr>
                <w:rFonts w:hint="eastAsia" w:ascii="仿宋" w:hAnsi="仿宋" w:eastAsia="仿宋"/>
                <w:color w:val="000000"/>
                <w:sz w:val="24"/>
              </w:rPr>
            </w:pPr>
            <w:r>
              <w:rPr>
                <w:rFonts w:ascii="仿宋" w:hAnsi="仿宋" w:eastAsia="仿宋"/>
                <w:kern w:val="0"/>
                <w:sz w:val="24"/>
              </w:rPr>
              <w:t>支持基于导入的AE/SAE判定标准和CTCAE标准自动判定受试者AE/SAE.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vMerge w:val="continue"/>
            <w:vAlign w:val="center"/>
          </w:tcPr>
          <w:p>
            <w:pPr>
              <w:adjustRightInd w:val="0"/>
              <w:spacing w:line="360" w:lineRule="auto"/>
              <w:contextualSpacing/>
              <w:rPr>
                <w:rFonts w:hint="eastAsia" w:ascii="仿宋" w:hAnsi="仿宋" w:eastAsia="仿宋"/>
                <w:bCs/>
                <w:color w:val="000000"/>
                <w:sz w:val="24"/>
              </w:rPr>
            </w:pPr>
          </w:p>
        </w:tc>
        <w:tc>
          <w:tcPr>
            <w:tcW w:w="1304" w:type="dxa"/>
            <w:vAlign w:val="center"/>
          </w:tcPr>
          <w:p>
            <w:pPr>
              <w:spacing w:line="360" w:lineRule="auto"/>
              <w:contextualSpacing/>
              <w:jc w:val="left"/>
              <w:rPr>
                <w:rFonts w:hint="eastAsia" w:ascii="仿宋" w:hAnsi="仿宋" w:eastAsia="仿宋"/>
                <w:color w:val="000000"/>
                <w:sz w:val="24"/>
              </w:rPr>
            </w:pPr>
            <w:r>
              <w:rPr>
                <w:rFonts w:ascii="仿宋" w:hAnsi="仿宋" w:eastAsia="仿宋"/>
                <w:color w:val="000000"/>
                <w:sz w:val="24"/>
              </w:rPr>
              <w:t>1.9临床试验用药品管理</w:t>
            </w:r>
          </w:p>
        </w:tc>
        <w:tc>
          <w:tcPr>
            <w:tcW w:w="5925" w:type="dxa"/>
            <w:vAlign w:val="center"/>
          </w:tcPr>
          <w:p>
            <w:pPr>
              <w:numPr>
                <w:ilvl w:val="0"/>
                <w:numId w:val="15"/>
              </w:numPr>
              <w:spacing w:line="360" w:lineRule="auto"/>
              <w:contextualSpacing/>
              <w:jc w:val="left"/>
              <w:rPr>
                <w:rFonts w:hint="eastAsia" w:ascii="仿宋" w:hAnsi="仿宋" w:eastAsia="仿宋"/>
                <w:color w:val="000000"/>
                <w:sz w:val="24"/>
              </w:rPr>
            </w:pPr>
            <w:r>
              <w:rPr>
                <w:rFonts w:ascii="仿宋" w:hAnsi="仿宋" w:eastAsia="仿宋"/>
                <w:color w:val="000000"/>
                <w:sz w:val="24"/>
              </w:rPr>
              <w:t>临床试验用药品库存查询功能；</w:t>
            </w:r>
          </w:p>
          <w:p>
            <w:pPr>
              <w:numPr>
                <w:ilvl w:val="0"/>
                <w:numId w:val="15"/>
              </w:numPr>
              <w:spacing w:line="360" w:lineRule="auto"/>
              <w:contextualSpacing/>
              <w:jc w:val="left"/>
              <w:rPr>
                <w:rFonts w:hint="eastAsia" w:ascii="仿宋" w:hAnsi="仿宋" w:eastAsia="仿宋"/>
                <w:color w:val="000000"/>
                <w:sz w:val="24"/>
              </w:rPr>
            </w:pPr>
            <w:r>
              <w:rPr>
                <w:rFonts w:ascii="仿宋" w:hAnsi="仿宋" w:eastAsia="仿宋"/>
                <w:bCs/>
                <w:kern w:val="0"/>
                <w:sz w:val="24"/>
              </w:rPr>
              <w:t>▲提供接口与第三方对接</w:t>
            </w:r>
            <w:r>
              <w:rPr>
                <w:rFonts w:ascii="仿宋" w:hAnsi="仿宋" w:eastAsia="仿宋"/>
                <w:color w:val="000000"/>
                <w:sz w:val="24"/>
              </w:rPr>
              <w:t>实现药物临床试验用药品的管理和使用基于医疗流程管理与使用的数据全程可溯源；</w:t>
            </w:r>
          </w:p>
          <w:p>
            <w:pPr>
              <w:numPr>
                <w:ilvl w:val="0"/>
                <w:numId w:val="15"/>
              </w:numPr>
              <w:spacing w:line="360" w:lineRule="auto"/>
              <w:contextualSpacing/>
              <w:jc w:val="left"/>
              <w:rPr>
                <w:rFonts w:hint="eastAsia" w:ascii="仿宋" w:hAnsi="仿宋" w:eastAsia="仿宋"/>
                <w:color w:val="000000"/>
                <w:sz w:val="24"/>
              </w:rPr>
            </w:pPr>
            <w:r>
              <w:rPr>
                <w:rFonts w:ascii="仿宋" w:hAnsi="仿宋" w:eastAsia="仿宋"/>
                <w:color w:val="000000"/>
                <w:sz w:val="24"/>
              </w:rPr>
              <w:t>保证试验用药品管理与使用源数据的现场管理可监控，实时掌握各专业科室试验用药品的管理，保证质控管理的有效性。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vMerge w:val="continue"/>
            <w:vAlign w:val="center"/>
          </w:tcPr>
          <w:p>
            <w:pPr>
              <w:adjustRightInd w:val="0"/>
              <w:spacing w:line="360" w:lineRule="auto"/>
              <w:contextualSpacing/>
              <w:rPr>
                <w:rFonts w:hint="eastAsia" w:ascii="仿宋" w:hAnsi="仿宋" w:eastAsia="仿宋"/>
                <w:bCs/>
                <w:color w:val="000000"/>
                <w:sz w:val="24"/>
              </w:rPr>
            </w:pPr>
          </w:p>
        </w:tc>
        <w:tc>
          <w:tcPr>
            <w:tcW w:w="1304" w:type="dxa"/>
            <w:vAlign w:val="center"/>
          </w:tcPr>
          <w:p>
            <w:pPr>
              <w:spacing w:line="360" w:lineRule="auto"/>
              <w:contextualSpacing/>
              <w:jc w:val="left"/>
              <w:rPr>
                <w:rFonts w:hint="eastAsia" w:ascii="仿宋" w:hAnsi="仿宋" w:eastAsia="仿宋"/>
                <w:color w:val="000000"/>
                <w:sz w:val="24"/>
              </w:rPr>
            </w:pPr>
            <w:r>
              <w:rPr>
                <w:rFonts w:ascii="仿宋" w:hAnsi="仿宋" w:eastAsia="仿宋"/>
                <w:sz w:val="24"/>
              </w:rPr>
              <w:t>1.10远程监查</w:t>
            </w:r>
          </w:p>
        </w:tc>
        <w:tc>
          <w:tcPr>
            <w:tcW w:w="5925" w:type="dxa"/>
            <w:vAlign w:val="center"/>
          </w:tcPr>
          <w:p>
            <w:pPr>
              <w:numPr>
                <w:ilvl w:val="0"/>
                <w:numId w:val="16"/>
              </w:numPr>
              <w:adjustRightInd w:val="0"/>
              <w:spacing w:line="360" w:lineRule="auto"/>
              <w:contextualSpacing/>
              <w:rPr>
                <w:rFonts w:hint="eastAsia" w:ascii="仿宋" w:hAnsi="仿宋" w:eastAsia="仿宋"/>
                <w:sz w:val="24"/>
              </w:rPr>
            </w:pPr>
            <w:r>
              <w:rPr>
                <w:rFonts w:ascii="仿宋" w:hAnsi="仿宋" w:eastAsia="仿宋"/>
                <w:sz w:val="24"/>
              </w:rPr>
              <w:t>支持远程监查预约、审查、在线通知；</w:t>
            </w:r>
          </w:p>
          <w:p>
            <w:pPr>
              <w:numPr>
                <w:ilvl w:val="0"/>
                <w:numId w:val="16"/>
              </w:numPr>
              <w:adjustRightInd w:val="0"/>
              <w:spacing w:line="360" w:lineRule="auto"/>
              <w:contextualSpacing/>
              <w:rPr>
                <w:rFonts w:hint="eastAsia" w:ascii="仿宋" w:hAnsi="仿宋" w:eastAsia="仿宋"/>
                <w:sz w:val="24"/>
              </w:rPr>
            </w:pPr>
            <w:r>
              <w:rPr>
                <w:rFonts w:ascii="仿宋" w:hAnsi="仿宋" w:eastAsia="仿宋"/>
                <w:b/>
                <w:bCs/>
                <w:color w:val="000000"/>
                <w:kern w:val="0"/>
                <w:sz w:val="24"/>
              </w:rPr>
              <w:t>#</w:t>
            </w:r>
            <w:r>
              <w:rPr>
                <w:rFonts w:ascii="仿宋" w:hAnsi="仿宋" w:eastAsia="仿宋"/>
                <w:sz w:val="24"/>
              </w:rPr>
              <w:t>提供受试者临床研究全过程数据检查，包括受试者信息、知情同意时间、筛选结果、受试者状态、随访数据以及用药信息等；</w:t>
            </w:r>
          </w:p>
          <w:p>
            <w:pPr>
              <w:numPr>
                <w:ilvl w:val="0"/>
                <w:numId w:val="16"/>
              </w:numPr>
              <w:adjustRightInd w:val="0"/>
              <w:spacing w:line="360" w:lineRule="auto"/>
              <w:contextualSpacing/>
              <w:rPr>
                <w:rFonts w:hint="eastAsia" w:ascii="仿宋" w:hAnsi="仿宋" w:eastAsia="仿宋"/>
                <w:sz w:val="24"/>
              </w:rPr>
            </w:pPr>
            <w:r>
              <w:rPr>
                <w:rFonts w:ascii="仿宋" w:hAnsi="仿宋" w:eastAsia="仿宋"/>
                <w:color w:val="000000"/>
                <w:sz w:val="24"/>
              </w:rPr>
              <w:t>▲</w:t>
            </w:r>
            <w:r>
              <w:rPr>
                <w:rFonts w:ascii="仿宋" w:hAnsi="仿宋" w:eastAsia="仿宋"/>
                <w:sz w:val="24"/>
              </w:rPr>
              <w:t>支持远程监查账号权限管控，可支持监查起始时间和结束时间；</w:t>
            </w:r>
          </w:p>
          <w:p>
            <w:pPr>
              <w:numPr>
                <w:ilvl w:val="0"/>
                <w:numId w:val="16"/>
              </w:numPr>
              <w:adjustRightInd w:val="0"/>
              <w:spacing w:line="360" w:lineRule="auto"/>
              <w:contextualSpacing/>
              <w:rPr>
                <w:rFonts w:hint="eastAsia" w:ascii="仿宋" w:hAnsi="仿宋" w:eastAsia="仿宋"/>
                <w:sz w:val="24"/>
              </w:rPr>
            </w:pPr>
            <w:r>
              <w:rPr>
                <w:rFonts w:ascii="仿宋" w:hAnsi="仿宋" w:eastAsia="仿宋"/>
                <w:color w:val="000000"/>
                <w:sz w:val="24"/>
              </w:rPr>
              <w:t>▲</w:t>
            </w:r>
            <w:r>
              <w:rPr>
                <w:rFonts w:ascii="仿宋" w:hAnsi="仿宋" w:eastAsia="仿宋"/>
                <w:sz w:val="24"/>
              </w:rPr>
              <w:t>远程监查页面需全程提供系统水印，水印内容包括监查用户名，日期等信息；</w:t>
            </w:r>
          </w:p>
          <w:p>
            <w:pPr>
              <w:numPr>
                <w:ilvl w:val="0"/>
                <w:numId w:val="16"/>
              </w:numPr>
              <w:adjustRightInd w:val="0"/>
              <w:spacing w:line="360" w:lineRule="auto"/>
              <w:contextualSpacing/>
              <w:rPr>
                <w:rFonts w:hint="eastAsia" w:ascii="仿宋" w:hAnsi="仿宋" w:eastAsia="仿宋"/>
                <w:sz w:val="24"/>
              </w:rPr>
            </w:pPr>
            <w:r>
              <w:rPr>
                <w:rFonts w:ascii="仿宋" w:hAnsi="仿宋" w:eastAsia="仿宋"/>
                <w:sz w:val="24"/>
              </w:rPr>
              <w:t>需提供监查的受试者360度视图，包括就诊信息、医嘱信息、检验报告、检查报告等；</w:t>
            </w:r>
          </w:p>
          <w:p>
            <w:pPr>
              <w:numPr>
                <w:ilvl w:val="0"/>
                <w:numId w:val="16"/>
              </w:numPr>
              <w:adjustRightInd w:val="0"/>
              <w:spacing w:line="360" w:lineRule="auto"/>
              <w:contextualSpacing/>
              <w:rPr>
                <w:rFonts w:hint="eastAsia" w:ascii="仿宋" w:hAnsi="仿宋" w:eastAsia="仿宋"/>
                <w:sz w:val="24"/>
              </w:rPr>
            </w:pPr>
            <w:r>
              <w:rPr>
                <w:rFonts w:ascii="仿宋" w:hAnsi="仿宋" w:eastAsia="仿宋"/>
                <w:sz w:val="24"/>
              </w:rPr>
              <w:t>远程监查需提供监查轨迹跟踪。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3" w:type="dxa"/>
            <w:vMerge w:val="continue"/>
            <w:vAlign w:val="center"/>
          </w:tcPr>
          <w:p>
            <w:pPr>
              <w:adjustRightInd w:val="0"/>
              <w:spacing w:line="360" w:lineRule="auto"/>
              <w:contextualSpacing/>
              <w:rPr>
                <w:rFonts w:hint="eastAsia" w:ascii="仿宋" w:hAnsi="仿宋" w:eastAsia="仿宋"/>
                <w:bCs/>
                <w:color w:val="000000"/>
                <w:sz w:val="24"/>
              </w:rPr>
            </w:pPr>
          </w:p>
        </w:tc>
        <w:tc>
          <w:tcPr>
            <w:tcW w:w="1304" w:type="dxa"/>
            <w:vAlign w:val="center"/>
          </w:tcPr>
          <w:p>
            <w:pPr>
              <w:spacing w:line="360" w:lineRule="auto"/>
              <w:contextualSpacing/>
              <w:jc w:val="left"/>
              <w:rPr>
                <w:rFonts w:hint="eastAsia" w:ascii="仿宋" w:hAnsi="仿宋" w:eastAsia="仿宋"/>
                <w:sz w:val="24"/>
              </w:rPr>
            </w:pPr>
            <w:r>
              <w:rPr>
                <w:rFonts w:hint="eastAsia" w:ascii="仿宋" w:hAnsi="仿宋" w:eastAsia="仿宋"/>
                <w:sz w:val="24"/>
              </w:rPr>
              <w:t>1.11智能招募</w:t>
            </w:r>
          </w:p>
        </w:tc>
        <w:tc>
          <w:tcPr>
            <w:tcW w:w="5925" w:type="dxa"/>
            <w:vAlign w:val="center"/>
          </w:tcPr>
          <w:p>
            <w:pPr>
              <w:numPr>
                <w:ilvl w:val="0"/>
                <w:numId w:val="17"/>
              </w:numPr>
              <w:tabs>
                <w:tab w:val="clear" w:pos="4941"/>
              </w:tabs>
              <w:adjustRightInd w:val="0"/>
              <w:spacing w:line="360" w:lineRule="auto"/>
              <w:ind w:left="420" w:hanging="420"/>
              <w:contextualSpacing/>
              <w:rPr>
                <w:rFonts w:hint="eastAsia" w:ascii="仿宋" w:hAnsi="仿宋" w:eastAsia="仿宋"/>
                <w:sz w:val="24"/>
              </w:rPr>
            </w:pPr>
            <w:r>
              <w:rPr>
                <w:rFonts w:ascii="仿宋" w:hAnsi="仿宋" w:eastAsia="仿宋"/>
                <w:sz w:val="24"/>
              </w:rPr>
              <w:t>支持基于研究方案定义受试者筛选参数包括性别、年龄、地区、肿瘤部位、肿瘤分期，病理类型，基因突变，治疗史，传染病史等。</w:t>
            </w:r>
          </w:p>
          <w:p>
            <w:pPr>
              <w:numPr>
                <w:ilvl w:val="0"/>
                <w:numId w:val="17"/>
              </w:numPr>
              <w:tabs>
                <w:tab w:val="clear" w:pos="4941"/>
              </w:tabs>
              <w:adjustRightInd w:val="0"/>
              <w:spacing w:line="360" w:lineRule="auto"/>
              <w:ind w:left="420" w:hanging="420"/>
              <w:contextualSpacing/>
              <w:rPr>
                <w:rFonts w:hint="eastAsia" w:ascii="仿宋" w:hAnsi="仿宋" w:eastAsia="仿宋"/>
                <w:sz w:val="24"/>
              </w:rPr>
            </w:pPr>
            <w:r>
              <w:rPr>
                <w:rFonts w:ascii="仿宋" w:hAnsi="仿宋" w:eastAsia="仿宋"/>
                <w:sz w:val="24"/>
              </w:rPr>
              <w:t>按项目入排标准与患者进行匹配，形成潜在受试者列表。</w:t>
            </w:r>
          </w:p>
          <w:p>
            <w:pPr>
              <w:numPr>
                <w:ilvl w:val="0"/>
                <w:numId w:val="17"/>
              </w:numPr>
              <w:tabs>
                <w:tab w:val="clear" w:pos="4941"/>
              </w:tabs>
              <w:adjustRightInd w:val="0"/>
              <w:spacing w:line="360" w:lineRule="auto"/>
              <w:ind w:left="420" w:hanging="420"/>
              <w:contextualSpacing/>
              <w:rPr>
                <w:rFonts w:hint="eastAsia" w:ascii="仿宋" w:hAnsi="仿宋" w:eastAsia="仿宋"/>
                <w:sz w:val="24"/>
              </w:rPr>
            </w:pPr>
            <w:r>
              <w:rPr>
                <w:rFonts w:ascii="仿宋" w:hAnsi="仿宋" w:eastAsia="仿宋"/>
                <w:sz w:val="24"/>
              </w:rPr>
              <w:t>支持按项目配置标记信息，研究者通过潜在受试者列表进行判定并对潜在受试者进行标记，包括治疗方案、适用药物等。</w:t>
            </w:r>
          </w:p>
          <w:p>
            <w:pPr>
              <w:numPr>
                <w:ilvl w:val="0"/>
                <w:numId w:val="17"/>
              </w:numPr>
              <w:tabs>
                <w:tab w:val="clear" w:pos="4941"/>
              </w:tabs>
              <w:adjustRightInd w:val="0"/>
              <w:spacing w:line="360" w:lineRule="auto"/>
              <w:ind w:left="420" w:hanging="420"/>
              <w:contextualSpacing/>
              <w:rPr>
                <w:rFonts w:hint="eastAsia" w:ascii="仿宋" w:hAnsi="仿宋" w:eastAsia="仿宋"/>
                <w:sz w:val="24"/>
              </w:rPr>
            </w:pPr>
            <w:r>
              <w:rPr>
                <w:rFonts w:ascii="仿宋" w:hAnsi="仿宋" w:eastAsia="仿宋"/>
                <w:sz w:val="24"/>
              </w:rPr>
              <w:t>系统支持将标记信息推送给医院HIS系统，潜在受试者就诊时进行提醒。</w:t>
            </w:r>
          </w:p>
        </w:tc>
      </w:tr>
    </w:tbl>
    <w:p>
      <w:pPr>
        <w:spacing w:line="360" w:lineRule="auto"/>
        <w:contextualSpacing/>
        <w:outlineLvl w:val="1"/>
        <w:rPr>
          <w:rFonts w:hint="eastAsia" w:ascii="仿宋" w:hAnsi="仿宋" w:eastAsia="仿宋"/>
          <w:color w:val="000000"/>
          <w:sz w:val="24"/>
        </w:rPr>
      </w:pPr>
      <w:r>
        <w:rPr>
          <w:rFonts w:hint="eastAsia" w:ascii="仿宋" w:hAnsi="仿宋" w:eastAsia="仿宋"/>
          <w:color w:val="000000"/>
          <w:sz w:val="24"/>
        </w:rPr>
        <w:t>5</w:t>
      </w:r>
      <w:r>
        <w:rPr>
          <w:rFonts w:ascii="仿宋" w:hAnsi="仿宋" w:eastAsia="仿宋"/>
          <w:color w:val="000000"/>
          <w:sz w:val="24"/>
        </w:rPr>
        <w:t>、研究型病房管理系统（功能需求）</w:t>
      </w:r>
    </w:p>
    <w:tbl>
      <w:tblPr>
        <w:tblStyle w:val="1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21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shd w:val="clear" w:color="000000" w:fill="D9D9D9"/>
            <w:vAlign w:val="center"/>
          </w:tcPr>
          <w:p>
            <w:pPr>
              <w:widowControl/>
              <w:adjustRightInd w:val="0"/>
              <w:spacing w:line="360" w:lineRule="auto"/>
              <w:contextualSpacing/>
              <w:rPr>
                <w:rFonts w:hint="eastAsia" w:ascii="仿宋" w:hAnsi="仿宋" w:eastAsia="仿宋"/>
                <w:b/>
                <w:color w:val="000000"/>
                <w:kern w:val="0"/>
                <w:sz w:val="24"/>
              </w:rPr>
            </w:pPr>
            <w:r>
              <w:rPr>
                <w:rFonts w:ascii="仿宋" w:hAnsi="仿宋" w:eastAsia="仿宋"/>
                <w:b/>
                <w:color w:val="000000"/>
                <w:kern w:val="0"/>
                <w:sz w:val="24"/>
              </w:rPr>
              <w:t>货物/服务名称</w:t>
            </w:r>
          </w:p>
        </w:tc>
        <w:tc>
          <w:tcPr>
            <w:tcW w:w="7584" w:type="dxa"/>
            <w:gridSpan w:val="2"/>
            <w:shd w:val="clear" w:color="000000" w:fill="D9D9D9"/>
            <w:vAlign w:val="center"/>
          </w:tcPr>
          <w:p>
            <w:pPr>
              <w:widowControl/>
              <w:adjustRightInd w:val="0"/>
              <w:spacing w:line="360" w:lineRule="auto"/>
              <w:contextualSpacing/>
              <w:jc w:val="center"/>
              <w:rPr>
                <w:rFonts w:hint="eastAsia" w:ascii="仿宋" w:hAnsi="仿宋" w:eastAsia="仿宋"/>
                <w:b/>
                <w:color w:val="000000"/>
                <w:kern w:val="0"/>
                <w:sz w:val="24"/>
              </w:rPr>
            </w:pPr>
            <w:r>
              <w:rPr>
                <w:rFonts w:ascii="仿宋" w:hAnsi="仿宋" w:eastAsia="仿宋"/>
                <w:b/>
                <w:color w:val="000000"/>
                <w:kern w:val="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restart"/>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color w:val="000000"/>
                <w:sz w:val="24"/>
              </w:rPr>
              <w:t>1.</w:t>
            </w:r>
            <w:r>
              <w:rPr>
                <w:rFonts w:ascii="仿宋" w:hAnsi="仿宋" w:eastAsia="仿宋"/>
                <w:sz w:val="24"/>
              </w:rPr>
              <w:t xml:space="preserve"> </w:t>
            </w:r>
            <w:r>
              <w:rPr>
                <w:rFonts w:ascii="仿宋" w:hAnsi="仿宋" w:eastAsia="仿宋"/>
                <w:bCs/>
                <w:color w:val="000000"/>
                <w:sz w:val="24"/>
              </w:rPr>
              <w:t>研究型病房管理系统</w:t>
            </w: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kern w:val="0"/>
                <w:sz w:val="24"/>
              </w:rPr>
              <w:t>1.1</w:t>
            </w:r>
            <w:r>
              <w:rPr>
                <w:rFonts w:ascii="仿宋" w:hAnsi="仿宋" w:eastAsia="仿宋"/>
                <w:kern w:val="0"/>
                <w:sz w:val="24"/>
              </w:rPr>
              <w:t>项目管理</w:t>
            </w:r>
          </w:p>
        </w:tc>
        <w:tc>
          <w:tcPr>
            <w:tcW w:w="6366" w:type="dxa"/>
            <w:vAlign w:val="center"/>
          </w:tcPr>
          <w:p>
            <w:pPr>
              <w:numPr>
                <w:ilvl w:val="0"/>
                <w:numId w:val="18"/>
              </w:numPr>
              <w:tabs>
                <w:tab w:val="clear" w:pos="360"/>
              </w:tabs>
              <w:adjustRightInd w:val="0"/>
              <w:spacing w:line="360" w:lineRule="auto"/>
              <w:ind w:left="420" w:hanging="420"/>
              <w:contextualSpacing/>
              <w:rPr>
                <w:rFonts w:hint="eastAsia" w:ascii="仿宋" w:hAnsi="仿宋" w:eastAsia="仿宋"/>
                <w:kern w:val="0"/>
                <w:sz w:val="24"/>
              </w:rPr>
            </w:pPr>
            <w:r>
              <w:rPr>
                <w:rFonts w:ascii="仿宋" w:hAnsi="仿宋" w:eastAsia="仿宋"/>
                <w:kern w:val="0"/>
                <w:sz w:val="24"/>
              </w:rPr>
              <w:t>根据法规要求，进行SAE记录、在线上报及跟踪管理；</w:t>
            </w:r>
          </w:p>
          <w:p>
            <w:pPr>
              <w:numPr>
                <w:ilvl w:val="0"/>
                <w:numId w:val="18"/>
              </w:numPr>
              <w:tabs>
                <w:tab w:val="clear" w:pos="360"/>
              </w:tabs>
              <w:adjustRightInd w:val="0"/>
              <w:spacing w:line="360" w:lineRule="auto"/>
              <w:ind w:left="420" w:hanging="420"/>
              <w:contextualSpacing/>
              <w:rPr>
                <w:rFonts w:hint="eastAsia" w:ascii="仿宋" w:hAnsi="仿宋" w:eastAsia="仿宋"/>
                <w:kern w:val="0"/>
                <w:sz w:val="24"/>
              </w:rPr>
            </w:pPr>
            <w:r>
              <w:rPr>
                <w:rFonts w:ascii="仿宋" w:hAnsi="仿宋" w:eastAsia="仿宋"/>
                <w:kern w:val="0"/>
                <w:sz w:val="24"/>
              </w:rPr>
              <w:t>临床研究档案管理（按项目、用户权限实现文件档案上传、在线审阅等，且系统中保存数据需5年以上）；</w:t>
            </w:r>
          </w:p>
          <w:p>
            <w:pPr>
              <w:numPr>
                <w:ilvl w:val="0"/>
                <w:numId w:val="18"/>
              </w:numPr>
              <w:tabs>
                <w:tab w:val="clear" w:pos="360"/>
              </w:tabs>
              <w:adjustRightInd w:val="0"/>
              <w:spacing w:line="360" w:lineRule="auto"/>
              <w:ind w:left="420" w:hanging="420"/>
              <w:contextualSpacing/>
              <w:rPr>
                <w:rFonts w:hint="eastAsia" w:ascii="仿宋" w:hAnsi="仿宋" w:eastAsia="仿宋"/>
                <w:kern w:val="0"/>
                <w:sz w:val="24"/>
              </w:rPr>
            </w:pPr>
            <w:r>
              <w:rPr>
                <w:rFonts w:ascii="仿宋" w:hAnsi="仿宋" w:eastAsia="仿宋"/>
                <w:kern w:val="0"/>
                <w:sz w:val="24"/>
              </w:rPr>
              <w:t>临床研究质控管理（包括内部三级质控和申办者稽查管理等，可对质控参数如质控流程抽检例数和比例、质控人员、预计完成时间等按项目需要实现配置）；</w:t>
            </w:r>
          </w:p>
          <w:p>
            <w:pPr>
              <w:numPr>
                <w:ilvl w:val="0"/>
                <w:numId w:val="18"/>
              </w:numPr>
              <w:tabs>
                <w:tab w:val="clear" w:pos="360"/>
              </w:tabs>
              <w:adjustRightInd w:val="0"/>
              <w:spacing w:line="360" w:lineRule="auto"/>
              <w:ind w:left="420" w:hanging="420"/>
              <w:contextualSpacing/>
              <w:rPr>
                <w:rFonts w:hint="eastAsia" w:ascii="仿宋" w:hAnsi="仿宋" w:eastAsia="仿宋"/>
                <w:kern w:val="0"/>
                <w:sz w:val="24"/>
              </w:rPr>
            </w:pPr>
            <w:r>
              <w:rPr>
                <w:rFonts w:ascii="仿宋" w:hAnsi="仿宋" w:eastAsia="仿宋"/>
                <w:kern w:val="0"/>
                <w:sz w:val="24"/>
              </w:rPr>
              <w:t>临床研究用药品管理（研究用药品的三方交接、药品库存、批号和有效期等信息管理以及药品接收、分发、回收、销毁的全过程信息化管理等）；</w:t>
            </w:r>
          </w:p>
          <w:p>
            <w:pPr>
              <w:numPr>
                <w:ilvl w:val="0"/>
                <w:numId w:val="18"/>
              </w:numPr>
              <w:tabs>
                <w:tab w:val="clear" w:pos="360"/>
              </w:tabs>
              <w:adjustRightInd w:val="0"/>
              <w:spacing w:line="360" w:lineRule="auto"/>
              <w:ind w:left="420" w:hanging="420"/>
              <w:contextualSpacing/>
              <w:rPr>
                <w:rFonts w:hint="eastAsia" w:ascii="仿宋" w:hAnsi="仿宋" w:eastAsia="仿宋"/>
                <w:sz w:val="24"/>
              </w:rPr>
            </w:pPr>
            <w:r>
              <w:rPr>
                <w:rFonts w:ascii="仿宋" w:hAnsi="仿宋" w:eastAsia="仿宋"/>
                <w:kern w:val="0"/>
                <w:sz w:val="24"/>
              </w:rPr>
              <w:t>与临床研究相关仪器设备、用品的交接、维护、效期提醒等电子化管理。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kern w:val="0"/>
                <w:sz w:val="24"/>
              </w:rPr>
              <w:t>1.2条形码管理</w:t>
            </w:r>
          </w:p>
        </w:tc>
        <w:tc>
          <w:tcPr>
            <w:tcW w:w="6366" w:type="dxa"/>
            <w:vAlign w:val="center"/>
          </w:tcPr>
          <w:p>
            <w:pPr>
              <w:numPr>
                <w:ilvl w:val="0"/>
                <w:numId w:val="19"/>
              </w:numPr>
              <w:adjustRightInd w:val="0"/>
              <w:spacing w:line="360" w:lineRule="auto"/>
              <w:contextualSpacing/>
              <w:rPr>
                <w:rFonts w:hint="eastAsia" w:ascii="仿宋" w:hAnsi="仿宋" w:eastAsia="仿宋"/>
                <w:kern w:val="0"/>
                <w:sz w:val="24"/>
              </w:rPr>
            </w:pPr>
            <w:r>
              <w:rPr>
                <w:rFonts w:ascii="仿宋" w:hAnsi="仿宋" w:eastAsia="仿宋"/>
                <w:kern w:val="0"/>
                <w:sz w:val="24"/>
              </w:rPr>
              <w:t>系统对受试者的信息进行全程化的条形码管理，根据信息设置和制定编码的规则，满足样本库建立时要求的共享和唯一的原则；</w:t>
            </w:r>
          </w:p>
          <w:p>
            <w:pPr>
              <w:numPr>
                <w:ilvl w:val="0"/>
                <w:numId w:val="19"/>
              </w:numPr>
              <w:adjustRightInd w:val="0"/>
              <w:spacing w:line="360" w:lineRule="auto"/>
              <w:contextualSpacing/>
              <w:rPr>
                <w:rFonts w:hint="eastAsia" w:ascii="仿宋" w:hAnsi="仿宋" w:eastAsia="仿宋"/>
                <w:kern w:val="0"/>
                <w:sz w:val="24"/>
              </w:rPr>
            </w:pPr>
            <w:r>
              <w:rPr>
                <w:rFonts w:ascii="仿宋" w:hAnsi="仿宋" w:eastAsia="仿宋"/>
                <w:kern w:val="0"/>
                <w:sz w:val="24"/>
              </w:rPr>
              <w:t>支持生成项目相关联的用户身份码、受试者码、稽查原因码、药品 编码、备份条码、标本码、采血包码、样本码，条形码规则兼容中心实验室；</w:t>
            </w:r>
          </w:p>
          <w:p>
            <w:pPr>
              <w:numPr>
                <w:ilvl w:val="0"/>
                <w:numId w:val="19"/>
              </w:numPr>
              <w:adjustRightInd w:val="0"/>
              <w:spacing w:line="360" w:lineRule="auto"/>
              <w:contextualSpacing/>
              <w:rPr>
                <w:rFonts w:hint="eastAsia" w:ascii="仿宋" w:hAnsi="仿宋" w:eastAsia="仿宋"/>
                <w:sz w:val="24"/>
              </w:rPr>
            </w:pPr>
            <w:r>
              <w:rPr>
                <w:rFonts w:ascii="仿宋" w:hAnsi="仿宋" w:eastAsia="仿宋"/>
                <w:kern w:val="0"/>
                <w:sz w:val="24"/>
              </w:rPr>
              <w:t>支持生成个用户角色在系统中唯一的用户标识条码。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1.3项目人员及职责管理</w:t>
            </w:r>
          </w:p>
        </w:tc>
        <w:tc>
          <w:tcPr>
            <w:tcW w:w="6366" w:type="dxa"/>
            <w:vAlign w:val="center"/>
          </w:tcPr>
          <w:p>
            <w:pPr>
              <w:numPr>
                <w:ilvl w:val="0"/>
                <w:numId w:val="20"/>
              </w:numPr>
              <w:adjustRightInd w:val="0"/>
              <w:spacing w:line="360" w:lineRule="auto"/>
              <w:contextualSpacing/>
              <w:rPr>
                <w:rFonts w:hint="eastAsia" w:ascii="仿宋" w:hAnsi="仿宋" w:eastAsia="仿宋"/>
                <w:kern w:val="0"/>
                <w:sz w:val="24"/>
              </w:rPr>
            </w:pPr>
            <w:r>
              <w:rPr>
                <w:rFonts w:ascii="仿宋" w:hAnsi="仿宋" w:eastAsia="仿宋"/>
                <w:kern w:val="0"/>
                <w:sz w:val="24"/>
              </w:rPr>
              <w:t>以用户组区分用户角色，包括主要研究者、机构办主任、伦理秘书、申办方、CRA、CRC等一系列用户组，可根据医院特色设立新的用户组；</w:t>
            </w:r>
          </w:p>
          <w:p>
            <w:pPr>
              <w:numPr>
                <w:ilvl w:val="0"/>
                <w:numId w:val="20"/>
              </w:numPr>
              <w:adjustRightInd w:val="0"/>
              <w:spacing w:line="360" w:lineRule="auto"/>
              <w:contextualSpacing/>
              <w:rPr>
                <w:rFonts w:hint="eastAsia" w:ascii="仿宋" w:hAnsi="仿宋" w:eastAsia="仿宋"/>
                <w:kern w:val="0"/>
                <w:sz w:val="24"/>
              </w:rPr>
            </w:pPr>
            <w:r>
              <w:rPr>
                <w:rFonts w:ascii="仿宋" w:hAnsi="仿宋" w:eastAsia="仿宋"/>
                <w:kern w:val="0"/>
                <w:sz w:val="24"/>
              </w:rPr>
              <w:t>支持对项目参与人员、人员的职责、权限的分配管理；</w:t>
            </w:r>
          </w:p>
          <w:p>
            <w:pPr>
              <w:numPr>
                <w:ilvl w:val="0"/>
                <w:numId w:val="20"/>
              </w:numPr>
              <w:adjustRightInd w:val="0"/>
              <w:spacing w:line="360" w:lineRule="auto"/>
              <w:contextualSpacing/>
              <w:rPr>
                <w:rFonts w:hint="eastAsia" w:ascii="仿宋" w:hAnsi="仿宋" w:eastAsia="仿宋"/>
                <w:sz w:val="24"/>
              </w:rPr>
            </w:pPr>
            <w:r>
              <w:rPr>
                <w:rFonts w:ascii="仿宋" w:hAnsi="仿宋" w:eastAsia="仿宋"/>
                <w:kern w:val="0"/>
                <w:sz w:val="24"/>
              </w:rPr>
              <w:t>管理人员与研究者之间有效沟通渠道（培训、质控等事项通知、提醒及回复）。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1.4方案部署与推送</w:t>
            </w:r>
          </w:p>
        </w:tc>
        <w:tc>
          <w:tcPr>
            <w:tcW w:w="6366" w:type="dxa"/>
            <w:vAlign w:val="center"/>
          </w:tcPr>
          <w:p>
            <w:pPr>
              <w:numPr>
                <w:ilvl w:val="0"/>
                <w:numId w:val="21"/>
              </w:numPr>
              <w:adjustRightInd w:val="0"/>
              <w:spacing w:line="360" w:lineRule="auto"/>
              <w:contextualSpacing/>
              <w:rPr>
                <w:rFonts w:hint="eastAsia" w:ascii="仿宋" w:hAnsi="仿宋" w:eastAsia="仿宋"/>
                <w:kern w:val="0"/>
                <w:sz w:val="24"/>
              </w:rPr>
            </w:pPr>
            <w:r>
              <w:rPr>
                <w:rFonts w:ascii="仿宋" w:hAnsi="仿宋" w:eastAsia="仿宋"/>
                <w:kern w:val="0"/>
                <w:sz w:val="24"/>
              </w:rPr>
              <w:t>支持根据研究方案，设置项目访视日程、访视事务、检查项目等，并提供可视化视图在线匹配随访日程下的访视事务；</w:t>
            </w:r>
          </w:p>
          <w:p>
            <w:pPr>
              <w:numPr>
                <w:ilvl w:val="0"/>
                <w:numId w:val="21"/>
              </w:numPr>
              <w:adjustRightInd w:val="0"/>
              <w:spacing w:line="360" w:lineRule="auto"/>
              <w:contextualSpacing/>
              <w:rPr>
                <w:rFonts w:hint="eastAsia" w:ascii="仿宋" w:hAnsi="仿宋" w:eastAsia="仿宋"/>
                <w:kern w:val="0"/>
                <w:sz w:val="24"/>
              </w:rPr>
            </w:pPr>
            <w:r>
              <w:rPr>
                <w:rFonts w:ascii="仿宋" w:hAnsi="仿宋" w:eastAsia="仿宋"/>
                <w:kern w:val="0"/>
                <w:sz w:val="24"/>
              </w:rPr>
              <w:t>可根据方案设置给药方案及给药计算公式；</w:t>
            </w:r>
          </w:p>
          <w:p>
            <w:pPr>
              <w:numPr>
                <w:ilvl w:val="0"/>
                <w:numId w:val="21"/>
              </w:numPr>
              <w:adjustRightInd w:val="0"/>
              <w:spacing w:line="360" w:lineRule="auto"/>
              <w:contextualSpacing/>
              <w:rPr>
                <w:rFonts w:hint="eastAsia" w:ascii="仿宋" w:hAnsi="仿宋" w:eastAsia="仿宋"/>
                <w:kern w:val="0"/>
                <w:sz w:val="24"/>
              </w:rPr>
            </w:pPr>
            <w:r>
              <w:rPr>
                <w:rFonts w:ascii="仿宋" w:hAnsi="仿宋" w:eastAsia="仿宋"/>
                <w:kern w:val="0"/>
                <w:sz w:val="24"/>
              </w:rPr>
              <w:t>可根据方案配置样本采集方案；</w:t>
            </w:r>
          </w:p>
          <w:p>
            <w:pPr>
              <w:numPr>
                <w:ilvl w:val="0"/>
                <w:numId w:val="21"/>
              </w:numPr>
              <w:adjustRightInd w:val="0"/>
              <w:spacing w:line="360" w:lineRule="auto"/>
              <w:contextualSpacing/>
              <w:rPr>
                <w:rFonts w:hint="eastAsia" w:ascii="仿宋" w:hAnsi="仿宋" w:eastAsia="仿宋"/>
                <w:sz w:val="24"/>
              </w:rPr>
            </w:pPr>
            <w:r>
              <w:rPr>
                <w:rFonts w:ascii="仿宋" w:hAnsi="仿宋" w:eastAsia="仿宋"/>
                <w:kern w:val="0"/>
                <w:sz w:val="24"/>
              </w:rPr>
              <w:t>支持按院内HIS数据交换标准推送访视方案。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1.5受试者管理及推送</w:t>
            </w:r>
          </w:p>
        </w:tc>
        <w:tc>
          <w:tcPr>
            <w:tcW w:w="6366" w:type="dxa"/>
            <w:vAlign w:val="center"/>
          </w:tcPr>
          <w:p>
            <w:pPr>
              <w:numPr>
                <w:ilvl w:val="0"/>
                <w:numId w:val="22"/>
              </w:numPr>
              <w:adjustRightInd w:val="0"/>
              <w:spacing w:line="360" w:lineRule="auto"/>
              <w:ind w:left="420" w:hanging="420"/>
              <w:contextualSpacing/>
              <w:rPr>
                <w:rFonts w:hint="eastAsia" w:ascii="仿宋" w:hAnsi="仿宋" w:eastAsia="仿宋"/>
                <w:kern w:val="0"/>
                <w:sz w:val="24"/>
              </w:rPr>
            </w:pPr>
            <w:r>
              <w:rPr>
                <w:rFonts w:ascii="仿宋" w:hAnsi="仿宋" w:eastAsia="仿宋"/>
                <w:kern w:val="0"/>
                <w:sz w:val="24"/>
              </w:rPr>
              <w:t>▲提供各类受试者状态对受试者筛选、入组、出组、脱落等实行过程管理，对出组、脱落状态支持填写原因；</w:t>
            </w:r>
          </w:p>
          <w:p>
            <w:pPr>
              <w:numPr>
                <w:ilvl w:val="0"/>
                <w:numId w:val="22"/>
              </w:numPr>
              <w:adjustRightInd w:val="0"/>
              <w:spacing w:line="360" w:lineRule="auto"/>
              <w:ind w:left="420" w:hanging="420"/>
              <w:contextualSpacing/>
              <w:rPr>
                <w:rFonts w:hint="eastAsia" w:ascii="仿宋" w:hAnsi="仿宋" w:eastAsia="仿宋"/>
                <w:kern w:val="0"/>
                <w:sz w:val="24"/>
              </w:rPr>
            </w:pPr>
            <w:r>
              <w:rPr>
                <w:rFonts w:ascii="仿宋" w:hAnsi="仿宋" w:eastAsia="仿宋"/>
                <w:kern w:val="0"/>
                <w:sz w:val="24"/>
              </w:rPr>
              <w:t>提供项目受试者入组进展报告；</w:t>
            </w:r>
          </w:p>
          <w:p>
            <w:pPr>
              <w:numPr>
                <w:ilvl w:val="0"/>
                <w:numId w:val="22"/>
              </w:numPr>
              <w:adjustRightInd w:val="0"/>
              <w:spacing w:line="360" w:lineRule="auto"/>
              <w:ind w:left="420" w:hanging="420"/>
              <w:contextualSpacing/>
              <w:rPr>
                <w:rFonts w:hint="eastAsia" w:ascii="仿宋" w:hAnsi="仿宋" w:eastAsia="仿宋"/>
                <w:kern w:val="0"/>
                <w:sz w:val="24"/>
              </w:rPr>
            </w:pPr>
            <w:r>
              <w:rPr>
                <w:rFonts w:ascii="仿宋" w:hAnsi="仿宋" w:eastAsia="仿宋"/>
                <w:kern w:val="0"/>
                <w:sz w:val="24"/>
              </w:rPr>
              <w:t>受试者现状查询功能，让机构和研究者及时了解到项目受试者情况、随访完成情况等；</w:t>
            </w:r>
          </w:p>
          <w:p>
            <w:pPr>
              <w:numPr>
                <w:ilvl w:val="0"/>
                <w:numId w:val="22"/>
              </w:numPr>
              <w:adjustRightInd w:val="0"/>
              <w:spacing w:line="360" w:lineRule="auto"/>
              <w:ind w:left="420" w:hanging="420"/>
              <w:contextualSpacing/>
              <w:rPr>
                <w:rFonts w:hint="eastAsia" w:ascii="仿宋" w:hAnsi="仿宋" w:eastAsia="仿宋"/>
                <w:kern w:val="0"/>
                <w:sz w:val="24"/>
              </w:rPr>
            </w:pPr>
            <w:r>
              <w:rPr>
                <w:rFonts w:ascii="仿宋" w:hAnsi="仿宋" w:eastAsia="仿宋"/>
                <w:kern w:val="0"/>
                <w:sz w:val="24"/>
              </w:rPr>
              <w:t>▲受试者临床研究检验检查项目管理，支持与医院业务系统集成获取医院检验检查项目名称及金额，实现按临床研究方案进行组套配置，并支持临床研究检验检查的开单、结果查询等；</w:t>
            </w:r>
          </w:p>
          <w:p>
            <w:pPr>
              <w:numPr>
                <w:ilvl w:val="0"/>
                <w:numId w:val="22"/>
              </w:numPr>
              <w:adjustRightInd w:val="0"/>
              <w:spacing w:line="360" w:lineRule="auto"/>
              <w:ind w:left="420" w:hanging="420"/>
              <w:contextualSpacing/>
              <w:rPr>
                <w:rFonts w:hint="eastAsia" w:ascii="仿宋" w:hAnsi="仿宋" w:eastAsia="仿宋"/>
                <w:sz w:val="24"/>
              </w:rPr>
            </w:pPr>
            <w:r>
              <w:rPr>
                <w:rFonts w:ascii="仿宋" w:hAnsi="仿宋" w:eastAsia="仿宋"/>
                <w:kern w:val="0"/>
                <w:sz w:val="24"/>
              </w:rPr>
              <w:t>受试者其他信息查询：包括受试者用药记录、合并用药、依从性统计记录等。</w:t>
            </w:r>
          </w:p>
          <w:p>
            <w:pPr>
              <w:numPr>
                <w:ilvl w:val="0"/>
                <w:numId w:val="22"/>
              </w:numPr>
              <w:adjustRightInd w:val="0"/>
              <w:spacing w:line="360" w:lineRule="auto"/>
              <w:ind w:left="420" w:hanging="420"/>
              <w:contextualSpacing/>
              <w:rPr>
                <w:rFonts w:hint="eastAsia" w:ascii="仿宋" w:hAnsi="仿宋" w:eastAsia="仿宋"/>
                <w:sz w:val="24"/>
              </w:rPr>
            </w:pPr>
            <w:r>
              <w:rPr>
                <w:rFonts w:ascii="仿宋" w:hAnsi="仿宋" w:eastAsia="仿宋"/>
                <w:sz w:val="24"/>
              </w:rPr>
              <w:t>支持以腕带及唯一码进行管理；</w:t>
            </w:r>
          </w:p>
          <w:p>
            <w:pPr>
              <w:numPr>
                <w:ilvl w:val="0"/>
                <w:numId w:val="22"/>
              </w:numPr>
              <w:adjustRightInd w:val="0"/>
              <w:spacing w:line="360" w:lineRule="auto"/>
              <w:ind w:left="420" w:hanging="420"/>
              <w:contextualSpacing/>
              <w:rPr>
                <w:rFonts w:hint="eastAsia" w:ascii="仿宋" w:hAnsi="仿宋" w:eastAsia="仿宋"/>
                <w:sz w:val="24"/>
              </w:rPr>
            </w:pPr>
            <w:r>
              <w:rPr>
                <w:rFonts w:ascii="仿宋" w:hAnsi="仿宋" w:eastAsia="仿宋"/>
                <w:sz w:val="24"/>
              </w:rPr>
              <w:t>支持根据方案要求，制定筛选号规则；</w:t>
            </w:r>
          </w:p>
          <w:p>
            <w:pPr>
              <w:numPr>
                <w:ilvl w:val="0"/>
                <w:numId w:val="22"/>
              </w:numPr>
              <w:adjustRightInd w:val="0"/>
              <w:spacing w:line="360" w:lineRule="auto"/>
              <w:ind w:left="420" w:hanging="420"/>
              <w:contextualSpacing/>
              <w:rPr>
                <w:rFonts w:hint="eastAsia" w:ascii="仿宋" w:hAnsi="仿宋" w:eastAsia="仿宋"/>
                <w:sz w:val="24"/>
              </w:rPr>
            </w:pPr>
            <w:r>
              <w:rPr>
                <w:rFonts w:ascii="仿宋" w:hAnsi="仿宋" w:eastAsia="仿宋"/>
                <w:sz w:val="24"/>
              </w:rPr>
              <w:t>支持根据随机表设置给药顺序设置；</w:t>
            </w:r>
          </w:p>
          <w:p>
            <w:pPr>
              <w:numPr>
                <w:ilvl w:val="0"/>
                <w:numId w:val="22"/>
              </w:numPr>
              <w:adjustRightInd w:val="0"/>
              <w:spacing w:line="360" w:lineRule="auto"/>
              <w:ind w:left="420" w:hanging="420"/>
              <w:contextualSpacing/>
              <w:rPr>
                <w:rFonts w:hint="eastAsia" w:ascii="仿宋" w:hAnsi="仿宋" w:eastAsia="仿宋"/>
                <w:sz w:val="24"/>
              </w:rPr>
            </w:pPr>
            <w:r>
              <w:rPr>
                <w:rFonts w:ascii="仿宋" w:hAnsi="仿宋" w:eastAsia="仿宋"/>
                <w:sz w:val="24"/>
              </w:rPr>
              <w:t>提供随访事务完成记录，包括受试者用药医嘱、检验检查医嘱等；</w:t>
            </w:r>
          </w:p>
          <w:p>
            <w:pPr>
              <w:numPr>
                <w:ilvl w:val="0"/>
                <w:numId w:val="22"/>
              </w:numPr>
              <w:adjustRightInd w:val="0"/>
              <w:spacing w:line="360" w:lineRule="auto"/>
              <w:ind w:left="420" w:hanging="420"/>
              <w:contextualSpacing/>
              <w:rPr>
                <w:rFonts w:hint="eastAsia" w:ascii="仿宋" w:hAnsi="仿宋" w:eastAsia="仿宋"/>
                <w:sz w:val="24"/>
              </w:rPr>
            </w:pPr>
            <w:r>
              <w:rPr>
                <w:rFonts w:ascii="仿宋" w:hAnsi="仿宋" w:eastAsia="仿宋"/>
                <w:sz w:val="24"/>
              </w:rPr>
              <w:t>支持按院内HIS数据交换标准推送受试者信息。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1.6随访日程管理</w:t>
            </w:r>
          </w:p>
        </w:tc>
        <w:tc>
          <w:tcPr>
            <w:tcW w:w="6366" w:type="dxa"/>
            <w:vAlign w:val="center"/>
          </w:tcPr>
          <w:p>
            <w:pPr>
              <w:numPr>
                <w:ilvl w:val="0"/>
                <w:numId w:val="23"/>
              </w:numPr>
              <w:adjustRightInd w:val="0"/>
              <w:spacing w:line="360" w:lineRule="auto"/>
              <w:contextualSpacing/>
              <w:rPr>
                <w:rFonts w:hint="eastAsia" w:ascii="仿宋" w:hAnsi="仿宋" w:eastAsia="仿宋"/>
                <w:kern w:val="0"/>
                <w:sz w:val="24"/>
              </w:rPr>
            </w:pPr>
            <w:r>
              <w:rPr>
                <w:rFonts w:ascii="仿宋" w:hAnsi="仿宋" w:eastAsia="仿宋"/>
                <w:kern w:val="0"/>
                <w:sz w:val="24"/>
              </w:rPr>
              <w:t>支持根据研究方案日程安排自动生成受试者随访，提供非计划随访，并记录相关的情况</w:t>
            </w:r>
          </w:p>
          <w:p>
            <w:pPr>
              <w:numPr>
                <w:ilvl w:val="0"/>
                <w:numId w:val="23"/>
              </w:numPr>
              <w:adjustRightInd w:val="0"/>
              <w:spacing w:line="360" w:lineRule="auto"/>
              <w:contextualSpacing/>
              <w:rPr>
                <w:rFonts w:hint="eastAsia" w:ascii="仿宋" w:hAnsi="仿宋" w:eastAsia="仿宋"/>
                <w:kern w:val="0"/>
                <w:sz w:val="24"/>
              </w:rPr>
            </w:pPr>
            <w:r>
              <w:rPr>
                <w:rFonts w:ascii="仿宋" w:hAnsi="仿宋" w:eastAsia="仿宋"/>
                <w:kern w:val="0"/>
                <w:sz w:val="24"/>
              </w:rPr>
              <w:t>支持根据临床研究进程阶段性生成相应随访安排；</w:t>
            </w:r>
          </w:p>
          <w:p>
            <w:pPr>
              <w:numPr>
                <w:ilvl w:val="0"/>
                <w:numId w:val="23"/>
              </w:numPr>
              <w:adjustRightInd w:val="0"/>
              <w:spacing w:line="360" w:lineRule="auto"/>
              <w:contextualSpacing/>
              <w:rPr>
                <w:rFonts w:hint="eastAsia" w:ascii="仿宋" w:hAnsi="仿宋" w:eastAsia="仿宋"/>
                <w:kern w:val="0"/>
                <w:sz w:val="24"/>
              </w:rPr>
            </w:pPr>
            <w:r>
              <w:rPr>
                <w:rFonts w:ascii="仿宋" w:hAnsi="仿宋" w:eastAsia="仿宋"/>
                <w:kern w:val="0"/>
                <w:sz w:val="24"/>
              </w:rPr>
              <w:t>支持根据首访日期自动计算随访时间；</w:t>
            </w:r>
          </w:p>
          <w:p>
            <w:pPr>
              <w:numPr>
                <w:ilvl w:val="0"/>
                <w:numId w:val="23"/>
              </w:numPr>
              <w:adjustRightInd w:val="0"/>
              <w:spacing w:line="360" w:lineRule="auto"/>
              <w:contextualSpacing/>
              <w:rPr>
                <w:rFonts w:hint="eastAsia" w:ascii="仿宋" w:hAnsi="仿宋" w:eastAsia="仿宋"/>
                <w:kern w:val="0"/>
                <w:sz w:val="24"/>
              </w:rPr>
            </w:pPr>
            <w:r>
              <w:rPr>
                <w:rFonts w:ascii="仿宋" w:hAnsi="仿宋" w:eastAsia="仿宋"/>
                <w:kern w:val="0"/>
                <w:sz w:val="24"/>
              </w:rPr>
              <w:t>研究人员等可按随访实际情况录入随访完成情况：</w:t>
            </w:r>
          </w:p>
          <w:p>
            <w:pPr>
              <w:numPr>
                <w:ilvl w:val="0"/>
                <w:numId w:val="23"/>
              </w:numPr>
              <w:adjustRightInd w:val="0"/>
              <w:spacing w:line="360" w:lineRule="auto"/>
              <w:contextualSpacing/>
              <w:rPr>
                <w:rFonts w:hint="eastAsia" w:ascii="仿宋" w:hAnsi="仿宋" w:eastAsia="仿宋"/>
                <w:kern w:val="0"/>
                <w:sz w:val="24"/>
              </w:rPr>
            </w:pPr>
            <w:r>
              <w:rPr>
                <w:rFonts w:ascii="仿宋" w:hAnsi="仿宋" w:eastAsia="仿宋"/>
                <w:kern w:val="0"/>
                <w:sz w:val="24"/>
              </w:rPr>
              <w:t>提供随访事务完成记录，包括受试者用药医嘱、检验检查医嘱等；</w:t>
            </w:r>
          </w:p>
          <w:p>
            <w:pPr>
              <w:numPr>
                <w:ilvl w:val="0"/>
                <w:numId w:val="23"/>
              </w:numPr>
              <w:spacing w:line="360" w:lineRule="auto"/>
              <w:contextualSpacing/>
              <w:rPr>
                <w:rFonts w:hint="eastAsia" w:ascii="仿宋" w:hAnsi="仿宋" w:eastAsia="仿宋"/>
                <w:kern w:val="0"/>
                <w:sz w:val="24"/>
              </w:rPr>
            </w:pPr>
            <w:r>
              <w:rPr>
                <w:rFonts w:ascii="仿宋" w:hAnsi="仿宋" w:eastAsia="仿宋"/>
                <w:kern w:val="0"/>
                <w:sz w:val="24"/>
              </w:rPr>
              <w:t>支持意外随访，并记录相关的情况。</w:t>
            </w:r>
          </w:p>
          <w:p>
            <w:pPr>
              <w:numPr>
                <w:ilvl w:val="0"/>
                <w:numId w:val="23"/>
              </w:numPr>
              <w:adjustRightInd w:val="0"/>
              <w:spacing w:line="360" w:lineRule="auto"/>
              <w:contextualSpacing/>
              <w:rPr>
                <w:rFonts w:hint="eastAsia" w:ascii="仿宋" w:hAnsi="仿宋" w:eastAsia="仿宋"/>
                <w:sz w:val="24"/>
              </w:rPr>
            </w:pPr>
            <w:r>
              <w:rPr>
                <w:rFonts w:ascii="仿宋" w:hAnsi="仿宋" w:eastAsia="仿宋"/>
                <w:kern w:val="0"/>
                <w:sz w:val="24"/>
              </w:rPr>
              <w:t>支持通过研究日历、手机短信、微信等工具提示研究者的受试者随访及随访需要完成的事务；</w:t>
            </w:r>
          </w:p>
          <w:p>
            <w:pPr>
              <w:numPr>
                <w:ilvl w:val="0"/>
                <w:numId w:val="23"/>
              </w:numPr>
              <w:adjustRightInd w:val="0"/>
              <w:spacing w:line="360" w:lineRule="auto"/>
              <w:contextualSpacing/>
              <w:rPr>
                <w:rFonts w:hint="eastAsia" w:ascii="仿宋" w:hAnsi="仿宋" w:eastAsia="仿宋"/>
                <w:sz w:val="24"/>
              </w:rPr>
            </w:pPr>
            <w:r>
              <w:rPr>
                <w:rFonts w:ascii="仿宋" w:hAnsi="仿宋" w:eastAsia="仿宋"/>
                <w:sz w:val="24"/>
              </w:rPr>
              <w:t>▲受试者随访预约功能：向研究者及受试者提供受试者预约提醒，系统可以自动发送手机短信至受试者，提醒其回访时间以及所需要做的检查。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1.7随访事务管理</w:t>
            </w:r>
          </w:p>
        </w:tc>
        <w:tc>
          <w:tcPr>
            <w:tcW w:w="6366" w:type="dxa"/>
            <w:vAlign w:val="center"/>
          </w:tcPr>
          <w:p>
            <w:pPr>
              <w:numPr>
                <w:ilvl w:val="0"/>
                <w:numId w:val="24"/>
              </w:numPr>
              <w:adjustRightInd w:val="0"/>
              <w:spacing w:line="360" w:lineRule="auto"/>
              <w:contextualSpacing/>
              <w:rPr>
                <w:rFonts w:hint="eastAsia" w:ascii="仿宋" w:hAnsi="仿宋" w:eastAsia="仿宋"/>
                <w:kern w:val="0"/>
                <w:sz w:val="24"/>
              </w:rPr>
            </w:pPr>
            <w:r>
              <w:rPr>
                <w:rFonts w:ascii="仿宋" w:hAnsi="仿宋" w:eastAsia="仿宋"/>
                <w:kern w:val="0"/>
                <w:sz w:val="24"/>
              </w:rPr>
              <w:t>支持根据研究方案，设置项目事件、检验检查项目、用药信息等；</w:t>
            </w:r>
          </w:p>
          <w:p>
            <w:pPr>
              <w:numPr>
                <w:ilvl w:val="0"/>
                <w:numId w:val="24"/>
              </w:numPr>
              <w:adjustRightInd w:val="0"/>
              <w:spacing w:line="360" w:lineRule="auto"/>
              <w:contextualSpacing/>
              <w:rPr>
                <w:rFonts w:hint="eastAsia" w:ascii="仿宋" w:hAnsi="仿宋" w:eastAsia="仿宋"/>
                <w:sz w:val="24"/>
              </w:rPr>
            </w:pPr>
            <w:r>
              <w:rPr>
                <w:rFonts w:ascii="仿宋" w:hAnsi="仿宋" w:eastAsia="仿宋"/>
                <w:kern w:val="0"/>
                <w:sz w:val="24"/>
              </w:rPr>
              <w:t>根据研究方案，随访计划，完整准确显示随访任务内容，包括设置的事件，检测项目，医嘱信息。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1.8检验检查推送</w:t>
            </w:r>
          </w:p>
        </w:tc>
        <w:tc>
          <w:tcPr>
            <w:tcW w:w="6366" w:type="dxa"/>
            <w:vAlign w:val="center"/>
          </w:tcPr>
          <w:p>
            <w:pPr>
              <w:numPr>
                <w:ilvl w:val="0"/>
                <w:numId w:val="25"/>
              </w:numPr>
              <w:adjustRightInd w:val="0"/>
              <w:spacing w:line="360" w:lineRule="auto"/>
              <w:contextualSpacing/>
              <w:rPr>
                <w:rFonts w:hint="eastAsia" w:ascii="仿宋" w:hAnsi="仿宋" w:eastAsia="仿宋"/>
                <w:kern w:val="0"/>
                <w:sz w:val="24"/>
              </w:rPr>
            </w:pPr>
            <w:r>
              <w:rPr>
                <w:rFonts w:ascii="仿宋" w:hAnsi="仿宋" w:eastAsia="仿宋"/>
                <w:kern w:val="0"/>
                <w:sz w:val="24"/>
              </w:rPr>
              <w:t>与院内医生工作站对接，实现免费检验检查的配置和管理；</w:t>
            </w:r>
          </w:p>
          <w:p>
            <w:pPr>
              <w:numPr>
                <w:ilvl w:val="0"/>
                <w:numId w:val="25"/>
              </w:numPr>
              <w:adjustRightInd w:val="0"/>
              <w:spacing w:line="360" w:lineRule="auto"/>
              <w:contextualSpacing/>
              <w:rPr>
                <w:rFonts w:hint="eastAsia" w:ascii="仿宋" w:hAnsi="仿宋" w:eastAsia="仿宋"/>
                <w:sz w:val="24"/>
              </w:rPr>
            </w:pPr>
            <w:r>
              <w:rPr>
                <w:rFonts w:ascii="仿宋" w:hAnsi="仿宋" w:eastAsia="仿宋"/>
                <w:kern w:val="0"/>
                <w:sz w:val="24"/>
              </w:rPr>
              <w:t>根据临床研究执行情况按临床研究方案推送检验检查项目。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1.9</w:t>
            </w:r>
            <w:r>
              <w:rPr>
                <w:rFonts w:ascii="仿宋" w:hAnsi="仿宋" w:eastAsia="仿宋"/>
                <w:sz w:val="24"/>
              </w:rPr>
              <w:t xml:space="preserve"> </w:t>
            </w:r>
            <w:r>
              <w:rPr>
                <w:rFonts w:ascii="仿宋" w:hAnsi="仿宋" w:eastAsia="仿宋"/>
                <w:bCs/>
                <w:sz w:val="24"/>
              </w:rPr>
              <w:t>HIS提醒</w:t>
            </w:r>
          </w:p>
        </w:tc>
        <w:tc>
          <w:tcPr>
            <w:tcW w:w="6366" w:type="dxa"/>
            <w:vAlign w:val="center"/>
          </w:tcPr>
          <w:p>
            <w:pPr>
              <w:numPr>
                <w:ilvl w:val="0"/>
                <w:numId w:val="26"/>
              </w:numPr>
              <w:adjustRightInd w:val="0"/>
              <w:spacing w:line="360" w:lineRule="auto"/>
              <w:contextualSpacing/>
              <w:rPr>
                <w:rFonts w:hint="eastAsia" w:ascii="仿宋" w:hAnsi="仿宋" w:eastAsia="仿宋"/>
                <w:sz w:val="24"/>
              </w:rPr>
            </w:pPr>
            <w:r>
              <w:rPr>
                <w:rFonts w:ascii="仿宋" w:hAnsi="仿宋" w:eastAsia="仿宋"/>
                <w:kern w:val="0"/>
                <w:sz w:val="24"/>
              </w:rPr>
              <w:t>提供受试者信息及方案信息，供HIS系统在界面呈现和提醒使用。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1.10医嘱下达</w:t>
            </w:r>
          </w:p>
        </w:tc>
        <w:tc>
          <w:tcPr>
            <w:tcW w:w="6366" w:type="dxa"/>
            <w:vAlign w:val="center"/>
          </w:tcPr>
          <w:p>
            <w:pPr>
              <w:numPr>
                <w:ilvl w:val="0"/>
                <w:numId w:val="27"/>
              </w:numPr>
              <w:adjustRightInd w:val="0"/>
              <w:spacing w:line="360" w:lineRule="auto"/>
              <w:contextualSpacing/>
              <w:rPr>
                <w:rFonts w:hint="eastAsia" w:ascii="仿宋" w:hAnsi="仿宋" w:eastAsia="仿宋"/>
                <w:sz w:val="24"/>
              </w:rPr>
            </w:pPr>
            <w:r>
              <w:rPr>
                <w:rFonts w:ascii="仿宋" w:hAnsi="仿宋" w:eastAsia="仿宋"/>
                <w:kern w:val="0"/>
                <w:sz w:val="24"/>
              </w:rPr>
              <w:t>支持与HIS对接，调用HIS医嘱接口，实现检验检查及用药的医嘱下达。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1.11受试者随访日历</w:t>
            </w:r>
          </w:p>
        </w:tc>
        <w:tc>
          <w:tcPr>
            <w:tcW w:w="6366" w:type="dxa"/>
            <w:vAlign w:val="center"/>
          </w:tcPr>
          <w:p>
            <w:pPr>
              <w:numPr>
                <w:ilvl w:val="0"/>
                <w:numId w:val="28"/>
              </w:numPr>
              <w:adjustRightInd w:val="0"/>
              <w:spacing w:line="360" w:lineRule="auto"/>
              <w:contextualSpacing/>
              <w:rPr>
                <w:rFonts w:hint="eastAsia" w:ascii="仿宋" w:hAnsi="仿宋" w:eastAsia="仿宋"/>
                <w:kern w:val="0"/>
                <w:sz w:val="24"/>
              </w:rPr>
            </w:pPr>
            <w:r>
              <w:rPr>
                <w:rFonts w:ascii="仿宋" w:hAnsi="仿宋" w:eastAsia="仿宋"/>
                <w:kern w:val="0"/>
                <w:sz w:val="24"/>
              </w:rPr>
              <w:t>为研究员提供专项项目日历；</w:t>
            </w:r>
          </w:p>
          <w:p>
            <w:pPr>
              <w:numPr>
                <w:ilvl w:val="0"/>
                <w:numId w:val="28"/>
              </w:numPr>
              <w:adjustRightInd w:val="0"/>
              <w:spacing w:line="360" w:lineRule="auto"/>
              <w:contextualSpacing/>
              <w:rPr>
                <w:rFonts w:hint="eastAsia" w:ascii="仿宋" w:hAnsi="仿宋" w:eastAsia="仿宋"/>
                <w:kern w:val="0"/>
                <w:sz w:val="24"/>
              </w:rPr>
            </w:pPr>
            <w:r>
              <w:rPr>
                <w:rFonts w:ascii="仿宋" w:hAnsi="仿宋" w:eastAsia="仿宋"/>
                <w:kern w:val="0"/>
                <w:sz w:val="24"/>
              </w:rPr>
              <w:t>集中管理研究者所参与的受试者情况；</w:t>
            </w:r>
          </w:p>
          <w:p>
            <w:pPr>
              <w:numPr>
                <w:ilvl w:val="0"/>
                <w:numId w:val="28"/>
              </w:numPr>
              <w:adjustRightInd w:val="0"/>
              <w:spacing w:line="360" w:lineRule="auto"/>
              <w:contextualSpacing/>
              <w:rPr>
                <w:rFonts w:hint="eastAsia" w:ascii="仿宋" w:hAnsi="仿宋" w:eastAsia="仿宋"/>
                <w:kern w:val="0"/>
                <w:sz w:val="24"/>
              </w:rPr>
            </w:pPr>
            <w:r>
              <w:rPr>
                <w:rFonts w:ascii="仿宋" w:hAnsi="仿宋" w:eastAsia="仿宋"/>
                <w:kern w:val="0"/>
                <w:sz w:val="24"/>
              </w:rPr>
              <w:t>按日期直观显示受试者随访任务安排，包括日程安排的事务、事件；</w:t>
            </w:r>
          </w:p>
          <w:p>
            <w:pPr>
              <w:numPr>
                <w:ilvl w:val="0"/>
                <w:numId w:val="28"/>
              </w:numPr>
              <w:adjustRightInd w:val="0"/>
              <w:spacing w:line="360" w:lineRule="auto"/>
              <w:contextualSpacing/>
              <w:rPr>
                <w:rFonts w:hint="eastAsia" w:ascii="仿宋" w:hAnsi="仿宋" w:eastAsia="仿宋"/>
                <w:kern w:val="0"/>
                <w:sz w:val="24"/>
              </w:rPr>
            </w:pPr>
            <w:r>
              <w:rPr>
                <w:rFonts w:ascii="仿宋" w:hAnsi="仿宋" w:eastAsia="仿宋"/>
                <w:kern w:val="0"/>
                <w:sz w:val="24"/>
              </w:rPr>
              <w:t>显示当天受试者随访任务安排；</w:t>
            </w:r>
          </w:p>
          <w:p>
            <w:pPr>
              <w:numPr>
                <w:ilvl w:val="0"/>
                <w:numId w:val="28"/>
              </w:numPr>
              <w:adjustRightInd w:val="0"/>
              <w:spacing w:line="360" w:lineRule="auto"/>
              <w:contextualSpacing/>
              <w:rPr>
                <w:rFonts w:hint="eastAsia" w:ascii="仿宋" w:hAnsi="仿宋" w:eastAsia="仿宋"/>
                <w:sz w:val="24"/>
              </w:rPr>
            </w:pPr>
            <w:r>
              <w:rPr>
                <w:rFonts w:ascii="仿宋" w:hAnsi="仿宋" w:eastAsia="仿宋"/>
                <w:kern w:val="0"/>
                <w:sz w:val="24"/>
              </w:rPr>
              <w:t>提供便捷检索并定位随访.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1.12生物样本管理</w:t>
            </w:r>
          </w:p>
        </w:tc>
        <w:tc>
          <w:tcPr>
            <w:tcW w:w="6366" w:type="dxa"/>
            <w:vAlign w:val="center"/>
          </w:tcPr>
          <w:p>
            <w:pPr>
              <w:numPr>
                <w:ilvl w:val="0"/>
                <w:numId w:val="29"/>
              </w:numPr>
              <w:adjustRightInd w:val="0"/>
              <w:spacing w:line="360" w:lineRule="auto"/>
              <w:contextualSpacing/>
              <w:rPr>
                <w:rFonts w:hint="eastAsia" w:ascii="仿宋" w:hAnsi="仿宋" w:eastAsia="仿宋"/>
                <w:kern w:val="0"/>
                <w:sz w:val="24"/>
              </w:rPr>
            </w:pPr>
            <w:r>
              <w:rPr>
                <w:rFonts w:ascii="仿宋" w:hAnsi="仿宋" w:eastAsia="仿宋"/>
                <w:kern w:val="0"/>
                <w:sz w:val="24"/>
              </w:rPr>
              <w:t>支持受试者扫码确认身份；</w:t>
            </w:r>
          </w:p>
          <w:p>
            <w:pPr>
              <w:numPr>
                <w:ilvl w:val="0"/>
                <w:numId w:val="29"/>
              </w:numPr>
              <w:adjustRightInd w:val="0"/>
              <w:spacing w:line="360" w:lineRule="auto"/>
              <w:contextualSpacing/>
              <w:rPr>
                <w:rFonts w:hint="eastAsia" w:ascii="仿宋" w:hAnsi="仿宋" w:eastAsia="仿宋"/>
                <w:kern w:val="0"/>
                <w:sz w:val="24"/>
              </w:rPr>
            </w:pPr>
            <w:r>
              <w:rPr>
                <w:rFonts w:ascii="仿宋" w:hAnsi="仿宋" w:eastAsia="仿宋"/>
                <w:kern w:val="0"/>
                <w:sz w:val="24"/>
              </w:rPr>
              <w:t>支持基于采血管、样本管、备用管的条形码编码、打印等功能；</w:t>
            </w:r>
          </w:p>
          <w:p>
            <w:pPr>
              <w:numPr>
                <w:ilvl w:val="0"/>
                <w:numId w:val="29"/>
              </w:numPr>
              <w:adjustRightInd w:val="0"/>
              <w:spacing w:line="360" w:lineRule="auto"/>
              <w:contextualSpacing/>
              <w:rPr>
                <w:rFonts w:hint="eastAsia" w:ascii="仿宋" w:hAnsi="仿宋" w:eastAsia="仿宋"/>
                <w:kern w:val="0"/>
                <w:sz w:val="24"/>
              </w:rPr>
            </w:pPr>
            <w:r>
              <w:rPr>
                <w:rFonts w:ascii="仿宋" w:hAnsi="仿宋" w:eastAsia="仿宋"/>
                <w:kern w:val="0"/>
                <w:sz w:val="24"/>
              </w:rPr>
              <w:t>支持受试者采血管、受试者采血点等唯一码的管理；</w:t>
            </w:r>
          </w:p>
          <w:p>
            <w:pPr>
              <w:numPr>
                <w:ilvl w:val="0"/>
                <w:numId w:val="29"/>
              </w:numPr>
              <w:adjustRightInd w:val="0"/>
              <w:spacing w:line="360" w:lineRule="auto"/>
              <w:contextualSpacing/>
              <w:rPr>
                <w:rFonts w:hint="eastAsia" w:ascii="仿宋" w:hAnsi="仿宋" w:eastAsia="仿宋"/>
                <w:kern w:val="0"/>
                <w:sz w:val="24"/>
              </w:rPr>
            </w:pPr>
            <w:r>
              <w:rPr>
                <w:rFonts w:ascii="仿宋" w:hAnsi="仿宋" w:eastAsia="仿宋"/>
                <w:kern w:val="0"/>
                <w:sz w:val="24"/>
              </w:rPr>
              <w:t>支持操作者扫码确认标本码，系统自动记录操作时间；</w:t>
            </w:r>
          </w:p>
          <w:p>
            <w:pPr>
              <w:numPr>
                <w:ilvl w:val="0"/>
                <w:numId w:val="29"/>
              </w:numPr>
              <w:adjustRightInd w:val="0"/>
              <w:spacing w:line="360" w:lineRule="auto"/>
              <w:contextualSpacing/>
              <w:rPr>
                <w:rFonts w:hint="eastAsia" w:ascii="仿宋" w:hAnsi="仿宋" w:eastAsia="仿宋"/>
                <w:kern w:val="0"/>
                <w:sz w:val="24"/>
              </w:rPr>
            </w:pPr>
            <w:r>
              <w:rPr>
                <w:rFonts w:ascii="仿宋" w:hAnsi="仿宋" w:eastAsia="仿宋"/>
                <w:kern w:val="0"/>
                <w:sz w:val="24"/>
              </w:rPr>
              <w:t>支持采血管/药物扫码确认；</w:t>
            </w:r>
          </w:p>
          <w:p>
            <w:pPr>
              <w:numPr>
                <w:ilvl w:val="0"/>
                <w:numId w:val="29"/>
              </w:numPr>
              <w:adjustRightInd w:val="0"/>
              <w:spacing w:line="360" w:lineRule="auto"/>
              <w:contextualSpacing/>
              <w:rPr>
                <w:rFonts w:hint="eastAsia" w:ascii="仿宋" w:hAnsi="仿宋" w:eastAsia="仿宋"/>
                <w:kern w:val="0"/>
                <w:sz w:val="24"/>
              </w:rPr>
            </w:pPr>
            <w:r>
              <w:rPr>
                <w:rFonts w:ascii="仿宋" w:hAnsi="仿宋" w:eastAsia="仿宋"/>
                <w:kern w:val="0"/>
                <w:sz w:val="24"/>
              </w:rPr>
              <w:t>支持采血/给药操作，在线确认，系统自动记录时间；</w:t>
            </w:r>
          </w:p>
          <w:p>
            <w:pPr>
              <w:numPr>
                <w:ilvl w:val="0"/>
                <w:numId w:val="29"/>
              </w:numPr>
              <w:adjustRightInd w:val="0"/>
              <w:spacing w:line="360" w:lineRule="auto"/>
              <w:contextualSpacing/>
              <w:rPr>
                <w:rFonts w:hint="eastAsia" w:ascii="仿宋" w:hAnsi="仿宋" w:eastAsia="仿宋"/>
                <w:kern w:val="0"/>
                <w:sz w:val="24"/>
              </w:rPr>
            </w:pPr>
            <w:r>
              <w:rPr>
                <w:rFonts w:ascii="仿宋" w:hAnsi="仿宋" w:eastAsia="仿宋"/>
                <w:kern w:val="0"/>
                <w:sz w:val="24"/>
              </w:rPr>
              <w:t>支持实时质控，如失败，可记录原因；</w:t>
            </w:r>
          </w:p>
          <w:p>
            <w:pPr>
              <w:numPr>
                <w:ilvl w:val="0"/>
                <w:numId w:val="29"/>
              </w:numPr>
              <w:adjustRightInd w:val="0"/>
              <w:spacing w:line="360" w:lineRule="auto"/>
              <w:contextualSpacing/>
              <w:rPr>
                <w:rFonts w:hint="eastAsia" w:ascii="仿宋" w:hAnsi="仿宋" w:eastAsia="仿宋"/>
                <w:kern w:val="0"/>
                <w:sz w:val="24"/>
              </w:rPr>
            </w:pPr>
            <w:r>
              <w:rPr>
                <w:rFonts w:ascii="仿宋" w:hAnsi="仿宋" w:eastAsia="仿宋"/>
                <w:kern w:val="0"/>
                <w:sz w:val="24"/>
              </w:rPr>
              <w:t>支持采集过程中逻辑检测，如空白血未采的情况下给药，系统将进行提示；</w:t>
            </w:r>
          </w:p>
          <w:p>
            <w:pPr>
              <w:numPr>
                <w:ilvl w:val="0"/>
                <w:numId w:val="29"/>
              </w:numPr>
              <w:adjustRightInd w:val="0"/>
              <w:spacing w:line="360" w:lineRule="auto"/>
              <w:contextualSpacing/>
              <w:rPr>
                <w:rFonts w:hint="eastAsia" w:ascii="仿宋" w:hAnsi="仿宋" w:eastAsia="仿宋"/>
                <w:kern w:val="0"/>
                <w:sz w:val="24"/>
              </w:rPr>
            </w:pPr>
            <w:r>
              <w:rPr>
                <w:rFonts w:ascii="仿宋" w:hAnsi="仿宋" w:eastAsia="仿宋"/>
                <w:kern w:val="0"/>
                <w:sz w:val="24"/>
              </w:rPr>
              <w:t>异常处理，支持数据补录，采血增补操作；</w:t>
            </w:r>
          </w:p>
          <w:p>
            <w:pPr>
              <w:numPr>
                <w:ilvl w:val="0"/>
                <w:numId w:val="29"/>
              </w:numPr>
              <w:adjustRightInd w:val="0"/>
              <w:spacing w:line="360" w:lineRule="auto"/>
              <w:contextualSpacing/>
              <w:rPr>
                <w:rFonts w:hint="eastAsia" w:ascii="仿宋" w:hAnsi="仿宋" w:eastAsia="仿宋"/>
                <w:kern w:val="0"/>
                <w:sz w:val="24"/>
              </w:rPr>
            </w:pPr>
            <w:r>
              <w:rPr>
                <w:rFonts w:ascii="仿宋" w:hAnsi="仿宋" w:eastAsia="仿宋"/>
                <w:kern w:val="0"/>
                <w:sz w:val="24"/>
              </w:rPr>
              <w:t>支持标本码，药物编号打印，支持备份码打印；</w:t>
            </w:r>
          </w:p>
          <w:p>
            <w:pPr>
              <w:numPr>
                <w:ilvl w:val="0"/>
                <w:numId w:val="29"/>
              </w:numPr>
              <w:adjustRightInd w:val="0"/>
              <w:spacing w:line="360" w:lineRule="auto"/>
              <w:contextualSpacing/>
              <w:rPr>
                <w:rFonts w:hint="eastAsia" w:ascii="仿宋" w:hAnsi="仿宋" w:eastAsia="仿宋"/>
                <w:kern w:val="0"/>
                <w:sz w:val="24"/>
              </w:rPr>
            </w:pPr>
            <w:r>
              <w:rPr>
                <w:rFonts w:ascii="仿宋" w:hAnsi="仿宋" w:eastAsia="仿宋"/>
                <w:kern w:val="0"/>
                <w:sz w:val="24"/>
              </w:rPr>
              <w:t>支持填写采样备注；</w:t>
            </w:r>
          </w:p>
          <w:p>
            <w:pPr>
              <w:numPr>
                <w:ilvl w:val="0"/>
                <w:numId w:val="29"/>
              </w:numPr>
              <w:adjustRightInd w:val="0"/>
              <w:spacing w:line="360" w:lineRule="auto"/>
              <w:contextualSpacing/>
              <w:rPr>
                <w:rFonts w:hint="eastAsia" w:ascii="仿宋" w:hAnsi="仿宋" w:eastAsia="仿宋"/>
                <w:sz w:val="24"/>
              </w:rPr>
            </w:pPr>
            <w:r>
              <w:rPr>
                <w:rFonts w:ascii="仿宋" w:hAnsi="仿宋" w:eastAsia="仿宋"/>
                <w:kern w:val="0"/>
                <w:sz w:val="24"/>
              </w:rPr>
              <w:t>支持将样本交接给中心实验室；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1.13</w:t>
            </w:r>
            <w:r>
              <w:rPr>
                <w:rFonts w:ascii="仿宋" w:hAnsi="仿宋" w:eastAsia="仿宋"/>
                <w:kern w:val="0"/>
                <w:sz w:val="24"/>
              </w:rPr>
              <w:t>消息管理</w:t>
            </w:r>
          </w:p>
        </w:tc>
        <w:tc>
          <w:tcPr>
            <w:tcW w:w="6366" w:type="dxa"/>
            <w:vAlign w:val="center"/>
          </w:tcPr>
          <w:p>
            <w:pPr>
              <w:numPr>
                <w:ilvl w:val="0"/>
                <w:numId w:val="30"/>
              </w:numPr>
              <w:adjustRightInd w:val="0"/>
              <w:spacing w:line="360" w:lineRule="auto"/>
              <w:contextualSpacing/>
              <w:rPr>
                <w:rFonts w:hint="eastAsia" w:ascii="仿宋" w:hAnsi="仿宋" w:eastAsia="仿宋"/>
                <w:kern w:val="0"/>
                <w:sz w:val="24"/>
              </w:rPr>
            </w:pPr>
            <w:r>
              <w:rPr>
                <w:rFonts w:ascii="仿宋" w:hAnsi="仿宋" w:eastAsia="仿宋"/>
                <w:kern w:val="0"/>
                <w:sz w:val="24"/>
              </w:rPr>
              <w:t>项目内工作人员可接收系统消息；</w:t>
            </w:r>
          </w:p>
          <w:p>
            <w:pPr>
              <w:numPr>
                <w:ilvl w:val="0"/>
                <w:numId w:val="30"/>
              </w:numPr>
              <w:adjustRightInd w:val="0"/>
              <w:spacing w:line="360" w:lineRule="auto"/>
              <w:contextualSpacing/>
              <w:rPr>
                <w:rFonts w:hint="eastAsia" w:ascii="仿宋" w:hAnsi="仿宋" w:eastAsia="仿宋"/>
                <w:kern w:val="0"/>
                <w:sz w:val="24"/>
              </w:rPr>
            </w:pPr>
            <w:r>
              <w:rPr>
                <w:rFonts w:ascii="仿宋" w:hAnsi="仿宋" w:eastAsia="仿宋"/>
                <w:kern w:val="0"/>
                <w:sz w:val="24"/>
              </w:rPr>
              <w:t>支持发布系统公告，可上传公告附件；</w:t>
            </w:r>
          </w:p>
          <w:p>
            <w:pPr>
              <w:numPr>
                <w:ilvl w:val="0"/>
                <w:numId w:val="30"/>
              </w:numPr>
              <w:adjustRightInd w:val="0"/>
              <w:spacing w:line="360" w:lineRule="auto"/>
              <w:contextualSpacing/>
              <w:rPr>
                <w:rFonts w:hint="eastAsia" w:ascii="仿宋" w:hAnsi="仿宋" w:eastAsia="仿宋"/>
                <w:kern w:val="0"/>
                <w:sz w:val="24"/>
              </w:rPr>
            </w:pPr>
            <w:r>
              <w:rPr>
                <w:rFonts w:ascii="仿宋" w:hAnsi="仿宋" w:eastAsia="仿宋"/>
                <w:kern w:val="0"/>
                <w:sz w:val="24"/>
              </w:rPr>
              <w:t>提供一系列系统自动提示消息，如：用户角色更改；用户锁定；项目激活等；</w:t>
            </w:r>
          </w:p>
          <w:p>
            <w:pPr>
              <w:numPr>
                <w:ilvl w:val="0"/>
                <w:numId w:val="30"/>
              </w:numPr>
              <w:adjustRightInd w:val="0"/>
              <w:spacing w:line="360" w:lineRule="auto"/>
              <w:contextualSpacing/>
              <w:rPr>
                <w:rFonts w:hint="eastAsia" w:ascii="仿宋" w:hAnsi="仿宋" w:eastAsia="仿宋"/>
                <w:sz w:val="24"/>
              </w:rPr>
            </w:pPr>
            <w:r>
              <w:rPr>
                <w:rFonts w:ascii="仿宋" w:hAnsi="仿宋" w:eastAsia="仿宋"/>
                <w:kern w:val="0"/>
                <w:sz w:val="24"/>
              </w:rPr>
              <w:t>支持与医院短信平台、邮件平台对接，实现消息提醒。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1.1</w:t>
            </w:r>
            <w:r>
              <w:rPr>
                <w:rFonts w:hint="eastAsia" w:ascii="仿宋" w:hAnsi="仿宋" w:eastAsia="仿宋"/>
                <w:bCs/>
                <w:sz w:val="24"/>
              </w:rPr>
              <w:t>4</w:t>
            </w:r>
            <w:r>
              <w:rPr>
                <w:rFonts w:ascii="仿宋" w:hAnsi="仿宋" w:eastAsia="仿宋"/>
                <w:bCs/>
                <w:sz w:val="24"/>
              </w:rPr>
              <w:t>联合用药管理</w:t>
            </w:r>
          </w:p>
        </w:tc>
        <w:tc>
          <w:tcPr>
            <w:tcW w:w="6366" w:type="dxa"/>
            <w:vAlign w:val="center"/>
          </w:tcPr>
          <w:p>
            <w:pPr>
              <w:numPr>
                <w:ilvl w:val="0"/>
                <w:numId w:val="31"/>
              </w:numPr>
              <w:adjustRightInd w:val="0"/>
              <w:spacing w:line="360" w:lineRule="auto"/>
              <w:contextualSpacing/>
              <w:rPr>
                <w:rFonts w:hint="eastAsia" w:ascii="仿宋" w:hAnsi="仿宋" w:eastAsia="仿宋"/>
                <w:kern w:val="0"/>
                <w:sz w:val="24"/>
              </w:rPr>
            </w:pPr>
            <w:r>
              <w:rPr>
                <w:rFonts w:ascii="仿宋" w:hAnsi="仿宋" w:eastAsia="仿宋"/>
                <w:kern w:val="0"/>
                <w:sz w:val="24"/>
              </w:rPr>
              <w:t>支持基于药物词典的联合用药管理；</w:t>
            </w:r>
          </w:p>
          <w:p>
            <w:pPr>
              <w:numPr>
                <w:ilvl w:val="0"/>
                <w:numId w:val="31"/>
              </w:numPr>
              <w:adjustRightInd w:val="0"/>
              <w:spacing w:line="360" w:lineRule="auto"/>
              <w:contextualSpacing/>
              <w:rPr>
                <w:rFonts w:hint="eastAsia" w:ascii="仿宋" w:hAnsi="仿宋" w:eastAsia="仿宋"/>
                <w:sz w:val="24"/>
              </w:rPr>
            </w:pPr>
            <w:r>
              <w:rPr>
                <w:rFonts w:ascii="仿宋" w:hAnsi="仿宋" w:eastAsia="仿宋"/>
                <w:kern w:val="0"/>
                <w:sz w:val="24"/>
              </w:rPr>
              <w:t>支持静配中心药物管理系统或中心药房系统对接。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sz w:val="24"/>
              </w:rPr>
              <w:t>1.1</w:t>
            </w:r>
            <w:r>
              <w:rPr>
                <w:rFonts w:hint="eastAsia" w:ascii="仿宋" w:hAnsi="仿宋" w:eastAsia="仿宋"/>
                <w:bCs/>
                <w:sz w:val="24"/>
              </w:rPr>
              <w:t>5</w:t>
            </w:r>
            <w:r>
              <w:rPr>
                <w:rFonts w:ascii="仿宋" w:hAnsi="仿宋" w:eastAsia="仿宋"/>
                <w:bCs/>
                <w:sz w:val="24"/>
              </w:rPr>
              <w:t>经费统计管理</w:t>
            </w:r>
          </w:p>
        </w:tc>
        <w:tc>
          <w:tcPr>
            <w:tcW w:w="6366" w:type="dxa"/>
            <w:vAlign w:val="center"/>
          </w:tcPr>
          <w:p>
            <w:pPr>
              <w:numPr>
                <w:ilvl w:val="0"/>
                <w:numId w:val="32"/>
              </w:numPr>
              <w:adjustRightInd w:val="0"/>
              <w:spacing w:line="360" w:lineRule="auto"/>
              <w:contextualSpacing/>
              <w:rPr>
                <w:rFonts w:hint="eastAsia" w:ascii="仿宋" w:hAnsi="仿宋" w:eastAsia="仿宋"/>
                <w:kern w:val="0"/>
                <w:sz w:val="24"/>
              </w:rPr>
            </w:pPr>
            <w:r>
              <w:rPr>
                <w:rFonts w:ascii="仿宋" w:hAnsi="仿宋" w:eastAsia="仿宋"/>
                <w:kern w:val="0"/>
                <w:sz w:val="24"/>
              </w:rPr>
              <w:t>支持经费财务报表、免费单统计等，支持按月、季度、年、项目、专业科室等自动生成临床科研经费财务报表；</w:t>
            </w:r>
          </w:p>
          <w:p>
            <w:pPr>
              <w:numPr>
                <w:ilvl w:val="0"/>
                <w:numId w:val="32"/>
              </w:numPr>
              <w:adjustRightInd w:val="0"/>
              <w:spacing w:line="360" w:lineRule="auto"/>
              <w:contextualSpacing/>
              <w:rPr>
                <w:rFonts w:hint="eastAsia" w:ascii="仿宋" w:hAnsi="仿宋" w:eastAsia="仿宋"/>
                <w:sz w:val="24"/>
              </w:rPr>
            </w:pPr>
            <w:r>
              <w:rPr>
                <w:rFonts w:ascii="仿宋" w:hAnsi="仿宋" w:eastAsia="仿宋"/>
                <w:kern w:val="0"/>
                <w:sz w:val="24"/>
              </w:rPr>
              <w:t>提供经费统计查询功能，支持设置统计筛选条件，按条件自动生成经费统计表。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kern w:val="0"/>
                <w:sz w:val="24"/>
              </w:rPr>
              <w:t>1.1</w:t>
            </w:r>
            <w:r>
              <w:rPr>
                <w:rFonts w:hint="eastAsia" w:ascii="仿宋" w:hAnsi="仿宋" w:eastAsia="仿宋"/>
                <w:kern w:val="0"/>
                <w:sz w:val="24"/>
              </w:rPr>
              <w:t>6</w:t>
            </w:r>
            <w:r>
              <w:rPr>
                <w:rFonts w:ascii="仿宋" w:hAnsi="仿宋" w:eastAsia="仿宋"/>
                <w:kern w:val="0"/>
                <w:sz w:val="24"/>
              </w:rPr>
              <w:t>稽查痕迹管理</w:t>
            </w:r>
          </w:p>
        </w:tc>
        <w:tc>
          <w:tcPr>
            <w:tcW w:w="6366" w:type="dxa"/>
            <w:vAlign w:val="center"/>
          </w:tcPr>
          <w:p>
            <w:pPr>
              <w:numPr>
                <w:ilvl w:val="0"/>
                <w:numId w:val="33"/>
              </w:numPr>
              <w:adjustRightInd w:val="0"/>
              <w:spacing w:line="360" w:lineRule="auto"/>
              <w:contextualSpacing/>
              <w:rPr>
                <w:rFonts w:hint="eastAsia" w:ascii="仿宋" w:hAnsi="仿宋" w:eastAsia="仿宋"/>
                <w:bCs/>
                <w:kern w:val="0"/>
                <w:sz w:val="24"/>
              </w:rPr>
            </w:pPr>
            <w:r>
              <w:rPr>
                <w:rFonts w:ascii="仿宋" w:hAnsi="仿宋" w:eastAsia="仿宋"/>
                <w:bCs/>
                <w:kern w:val="0"/>
                <w:sz w:val="24"/>
              </w:rPr>
              <w:t>▲对项目相关信息及关键数据的历史变化过程跟踪，便于管理人员及时了解数据变化前后的值，变化的原因及谁在什么时间修改的；</w:t>
            </w:r>
          </w:p>
          <w:p>
            <w:pPr>
              <w:numPr>
                <w:ilvl w:val="0"/>
                <w:numId w:val="33"/>
              </w:numPr>
              <w:adjustRightInd w:val="0"/>
              <w:spacing w:line="360" w:lineRule="auto"/>
              <w:contextualSpacing/>
              <w:rPr>
                <w:rFonts w:hint="eastAsia" w:ascii="仿宋" w:hAnsi="仿宋" w:eastAsia="仿宋"/>
                <w:sz w:val="24"/>
              </w:rPr>
            </w:pPr>
            <w:r>
              <w:rPr>
                <w:rFonts w:ascii="仿宋" w:hAnsi="仿宋" w:eastAsia="仿宋"/>
                <w:bCs/>
                <w:kern w:val="0"/>
                <w:sz w:val="24"/>
              </w:rPr>
              <w:t>多方位的留痕记录：项目留痕、用户信息留痕、受试者留痕、系统设置留痕。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kern w:val="0"/>
                <w:sz w:val="24"/>
              </w:rPr>
              <w:t>1.</w:t>
            </w:r>
            <w:r>
              <w:rPr>
                <w:rFonts w:hint="eastAsia" w:ascii="仿宋" w:hAnsi="仿宋" w:eastAsia="仿宋"/>
                <w:kern w:val="0"/>
                <w:sz w:val="24"/>
              </w:rPr>
              <w:t>17</w:t>
            </w:r>
            <w:r>
              <w:rPr>
                <w:rFonts w:ascii="仿宋" w:hAnsi="仿宋" w:eastAsia="仿宋"/>
                <w:kern w:val="0"/>
                <w:sz w:val="24"/>
              </w:rPr>
              <w:t>时间管理</w:t>
            </w:r>
          </w:p>
        </w:tc>
        <w:tc>
          <w:tcPr>
            <w:tcW w:w="6366" w:type="dxa"/>
            <w:vAlign w:val="center"/>
          </w:tcPr>
          <w:p>
            <w:pPr>
              <w:numPr>
                <w:ilvl w:val="0"/>
                <w:numId w:val="34"/>
              </w:numPr>
              <w:adjustRightInd w:val="0"/>
              <w:spacing w:line="360" w:lineRule="auto"/>
              <w:contextualSpacing/>
              <w:rPr>
                <w:rFonts w:hint="eastAsia" w:ascii="仿宋" w:hAnsi="仿宋" w:eastAsia="仿宋"/>
                <w:bCs/>
                <w:kern w:val="0"/>
                <w:sz w:val="24"/>
              </w:rPr>
            </w:pPr>
            <w:r>
              <w:rPr>
                <w:rFonts w:ascii="仿宋" w:hAnsi="仿宋" w:eastAsia="仿宋"/>
                <w:bCs/>
                <w:kern w:val="0"/>
                <w:sz w:val="24"/>
              </w:rPr>
              <w:t>支持服务器时间与国家时间服务器同步；</w:t>
            </w:r>
          </w:p>
          <w:p>
            <w:pPr>
              <w:numPr>
                <w:ilvl w:val="0"/>
                <w:numId w:val="34"/>
              </w:numPr>
              <w:adjustRightInd w:val="0"/>
              <w:spacing w:line="360" w:lineRule="auto"/>
              <w:contextualSpacing/>
              <w:rPr>
                <w:rFonts w:hint="eastAsia" w:ascii="仿宋" w:hAnsi="仿宋" w:eastAsia="仿宋"/>
                <w:bCs/>
                <w:kern w:val="0"/>
                <w:sz w:val="24"/>
              </w:rPr>
            </w:pPr>
            <w:r>
              <w:rPr>
                <w:rFonts w:ascii="仿宋" w:hAnsi="仿宋" w:eastAsia="仿宋"/>
                <w:bCs/>
                <w:kern w:val="0"/>
                <w:sz w:val="24"/>
              </w:rPr>
              <w:t>支持查看客户端时间与服务器时间差异；</w:t>
            </w:r>
          </w:p>
          <w:p>
            <w:pPr>
              <w:numPr>
                <w:ilvl w:val="0"/>
                <w:numId w:val="34"/>
              </w:numPr>
              <w:adjustRightInd w:val="0"/>
              <w:spacing w:line="360" w:lineRule="auto"/>
              <w:contextualSpacing/>
              <w:rPr>
                <w:rFonts w:hint="eastAsia" w:ascii="仿宋" w:hAnsi="仿宋" w:eastAsia="仿宋"/>
                <w:sz w:val="24"/>
              </w:rPr>
            </w:pPr>
            <w:r>
              <w:rPr>
                <w:rFonts w:ascii="仿宋" w:hAnsi="仿宋" w:eastAsia="仿宋"/>
                <w:bCs/>
                <w:kern w:val="0"/>
                <w:sz w:val="24"/>
              </w:rPr>
              <w:t>支持客户端操作系统时间与服务器时间的自动同步。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Merge w:val="continue"/>
            <w:vAlign w:val="center"/>
          </w:tcPr>
          <w:p>
            <w:pPr>
              <w:adjustRightInd w:val="0"/>
              <w:spacing w:line="360" w:lineRule="auto"/>
              <w:contextualSpacing/>
              <w:rPr>
                <w:rFonts w:hint="eastAsia" w:ascii="仿宋" w:hAnsi="仿宋" w:eastAsia="仿宋"/>
                <w:bCs/>
                <w:color w:val="000000"/>
                <w:sz w:val="24"/>
              </w:rPr>
            </w:pP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sz w:val="24"/>
              </w:rPr>
              <w:t>1.</w:t>
            </w:r>
            <w:r>
              <w:rPr>
                <w:rFonts w:hint="eastAsia" w:ascii="仿宋" w:hAnsi="仿宋" w:eastAsia="仿宋"/>
                <w:sz w:val="24"/>
              </w:rPr>
              <w:t>18</w:t>
            </w:r>
            <w:r>
              <w:rPr>
                <w:rFonts w:ascii="仿宋" w:hAnsi="仿宋" w:eastAsia="仿宋"/>
                <w:sz w:val="24"/>
              </w:rPr>
              <w:t>病房病床管理</w:t>
            </w:r>
          </w:p>
        </w:tc>
        <w:tc>
          <w:tcPr>
            <w:tcW w:w="6366" w:type="dxa"/>
            <w:vAlign w:val="center"/>
          </w:tcPr>
          <w:p>
            <w:pPr>
              <w:pStyle w:val="20"/>
              <w:numPr>
                <w:ilvl w:val="0"/>
                <w:numId w:val="35"/>
              </w:numPr>
              <w:adjustRightInd w:val="0"/>
              <w:spacing w:line="360" w:lineRule="auto"/>
              <w:ind w:firstLineChars="0"/>
              <w:contextualSpacing/>
              <w:rPr>
                <w:rFonts w:hint="eastAsia" w:ascii="仿宋" w:hAnsi="仿宋" w:eastAsia="仿宋"/>
                <w:bCs/>
                <w:color w:val="000000"/>
                <w:sz w:val="24"/>
              </w:rPr>
            </w:pPr>
            <w:r>
              <w:rPr>
                <w:rFonts w:ascii="仿宋" w:hAnsi="仿宋" w:eastAsia="仿宋"/>
                <w:bCs/>
                <w:color w:val="000000"/>
                <w:sz w:val="24"/>
              </w:rPr>
              <w:t>支持可视化查看病房病床使用情况；</w:t>
            </w:r>
          </w:p>
          <w:p>
            <w:pPr>
              <w:pStyle w:val="20"/>
              <w:numPr>
                <w:ilvl w:val="0"/>
                <w:numId w:val="35"/>
              </w:numPr>
              <w:adjustRightInd w:val="0"/>
              <w:spacing w:line="360" w:lineRule="auto"/>
              <w:ind w:firstLineChars="0"/>
              <w:contextualSpacing/>
              <w:rPr>
                <w:rFonts w:hint="eastAsia" w:ascii="仿宋" w:hAnsi="仿宋" w:eastAsia="仿宋"/>
                <w:bCs/>
                <w:color w:val="000000"/>
                <w:sz w:val="24"/>
              </w:rPr>
            </w:pPr>
            <w:r>
              <w:rPr>
                <w:rFonts w:ascii="仿宋" w:hAnsi="仿宋" w:eastAsia="仿宋"/>
                <w:bCs/>
                <w:color w:val="000000"/>
                <w:sz w:val="24"/>
              </w:rPr>
              <w:t>支持在线安排受试者入院和出院；</w:t>
            </w:r>
          </w:p>
          <w:p>
            <w:pPr>
              <w:pStyle w:val="20"/>
              <w:numPr>
                <w:ilvl w:val="0"/>
                <w:numId w:val="35"/>
              </w:numPr>
              <w:adjustRightInd w:val="0"/>
              <w:spacing w:line="360" w:lineRule="auto"/>
              <w:ind w:firstLineChars="0"/>
              <w:contextualSpacing/>
              <w:rPr>
                <w:rFonts w:hint="eastAsia" w:ascii="仿宋" w:hAnsi="仿宋" w:eastAsia="仿宋"/>
                <w:bCs/>
                <w:color w:val="000000"/>
                <w:sz w:val="24"/>
              </w:rPr>
            </w:pPr>
            <w:r>
              <w:rPr>
                <w:rFonts w:ascii="仿宋" w:hAnsi="仿宋" w:eastAsia="仿宋"/>
                <w:bCs/>
                <w:color w:val="000000"/>
                <w:sz w:val="24"/>
              </w:rPr>
              <w:t>支持变更病房病床状态；</w:t>
            </w:r>
          </w:p>
          <w:p>
            <w:pPr>
              <w:pStyle w:val="20"/>
              <w:numPr>
                <w:ilvl w:val="0"/>
                <w:numId w:val="35"/>
              </w:numPr>
              <w:adjustRightInd w:val="0"/>
              <w:spacing w:line="360" w:lineRule="auto"/>
              <w:ind w:firstLineChars="0"/>
              <w:contextualSpacing/>
              <w:rPr>
                <w:rFonts w:hint="eastAsia" w:ascii="仿宋" w:hAnsi="仿宋" w:eastAsia="仿宋"/>
                <w:sz w:val="24"/>
              </w:rPr>
            </w:pPr>
            <w:r>
              <w:rPr>
                <w:rFonts w:ascii="仿宋" w:hAnsi="仿宋" w:eastAsia="仿宋"/>
                <w:bCs/>
                <w:color w:val="000000"/>
                <w:sz w:val="24"/>
              </w:rPr>
              <w:t>支持按项目查看病房病床信息及入住受试者信息；</w:t>
            </w:r>
          </w:p>
        </w:tc>
      </w:tr>
    </w:tbl>
    <w:p>
      <w:pPr>
        <w:spacing w:line="360" w:lineRule="auto"/>
        <w:contextualSpacing/>
        <w:outlineLvl w:val="1"/>
        <w:rPr>
          <w:rFonts w:hint="eastAsia" w:ascii="仿宋" w:hAnsi="仿宋" w:eastAsia="仿宋"/>
          <w:color w:val="000000"/>
          <w:sz w:val="24"/>
        </w:rPr>
      </w:pPr>
      <w:r>
        <w:rPr>
          <w:rFonts w:hint="eastAsia" w:ascii="仿宋" w:hAnsi="仿宋" w:eastAsia="仿宋"/>
          <w:color w:val="000000"/>
          <w:sz w:val="24"/>
        </w:rPr>
        <w:t>6</w:t>
      </w:r>
      <w:r>
        <w:rPr>
          <w:rFonts w:ascii="仿宋" w:hAnsi="仿宋" w:eastAsia="仿宋"/>
          <w:color w:val="000000"/>
          <w:sz w:val="24"/>
        </w:rPr>
        <w:t>、临床研究中心用户管理系统（功能需求）</w:t>
      </w:r>
    </w:p>
    <w:tbl>
      <w:tblPr>
        <w:tblStyle w:val="1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21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shd w:val="clear" w:color="000000" w:fill="D9D9D9"/>
            <w:vAlign w:val="center"/>
          </w:tcPr>
          <w:p>
            <w:pPr>
              <w:widowControl/>
              <w:adjustRightInd w:val="0"/>
              <w:spacing w:line="360" w:lineRule="auto"/>
              <w:contextualSpacing/>
              <w:rPr>
                <w:rFonts w:hint="eastAsia" w:ascii="仿宋" w:hAnsi="仿宋" w:eastAsia="仿宋"/>
                <w:b/>
                <w:color w:val="000000"/>
                <w:kern w:val="0"/>
                <w:sz w:val="24"/>
              </w:rPr>
            </w:pPr>
            <w:r>
              <w:rPr>
                <w:rFonts w:ascii="仿宋" w:hAnsi="仿宋" w:eastAsia="仿宋"/>
                <w:b/>
                <w:color w:val="000000"/>
                <w:kern w:val="0"/>
                <w:sz w:val="24"/>
              </w:rPr>
              <w:t>货物/服务名称</w:t>
            </w:r>
          </w:p>
        </w:tc>
        <w:tc>
          <w:tcPr>
            <w:tcW w:w="7584" w:type="dxa"/>
            <w:gridSpan w:val="2"/>
            <w:shd w:val="clear" w:color="000000" w:fill="D9D9D9"/>
            <w:vAlign w:val="center"/>
          </w:tcPr>
          <w:p>
            <w:pPr>
              <w:widowControl/>
              <w:adjustRightInd w:val="0"/>
              <w:spacing w:line="360" w:lineRule="auto"/>
              <w:contextualSpacing/>
              <w:jc w:val="center"/>
              <w:rPr>
                <w:rFonts w:hint="eastAsia" w:ascii="仿宋" w:hAnsi="仿宋" w:eastAsia="仿宋"/>
                <w:b/>
                <w:color w:val="000000"/>
                <w:kern w:val="0"/>
                <w:sz w:val="24"/>
              </w:rPr>
            </w:pPr>
            <w:r>
              <w:rPr>
                <w:rFonts w:ascii="仿宋" w:hAnsi="仿宋" w:eastAsia="仿宋"/>
                <w:b/>
                <w:color w:val="000000"/>
                <w:kern w:val="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color w:val="000000"/>
                <w:sz w:val="24"/>
              </w:rPr>
              <w:t>1.</w:t>
            </w:r>
            <w:r>
              <w:rPr>
                <w:rFonts w:ascii="仿宋" w:hAnsi="仿宋" w:eastAsia="仿宋"/>
                <w:sz w:val="24"/>
              </w:rPr>
              <w:t xml:space="preserve"> </w:t>
            </w:r>
            <w:r>
              <w:rPr>
                <w:rFonts w:ascii="仿宋" w:hAnsi="仿宋" w:eastAsia="仿宋"/>
                <w:bCs/>
                <w:color w:val="000000"/>
                <w:sz w:val="24"/>
              </w:rPr>
              <w:t>临床研究中心用户管理系统</w:t>
            </w:r>
          </w:p>
        </w:tc>
        <w:tc>
          <w:tcPr>
            <w:tcW w:w="1218" w:type="dxa"/>
            <w:vAlign w:val="center"/>
          </w:tcPr>
          <w:p>
            <w:pPr>
              <w:adjustRightInd w:val="0"/>
              <w:spacing w:line="360" w:lineRule="auto"/>
              <w:contextualSpacing/>
              <w:jc w:val="left"/>
              <w:rPr>
                <w:rFonts w:hint="eastAsia" w:ascii="仿宋" w:hAnsi="仿宋" w:eastAsia="仿宋"/>
                <w:bCs/>
                <w:color w:val="000000"/>
                <w:sz w:val="24"/>
              </w:rPr>
            </w:pPr>
            <w:r>
              <w:rPr>
                <w:rFonts w:ascii="仿宋" w:hAnsi="仿宋" w:eastAsia="仿宋"/>
                <w:bCs/>
                <w:color w:val="000000"/>
                <w:sz w:val="24"/>
              </w:rPr>
              <w:t>1.1单点登陆</w:t>
            </w:r>
          </w:p>
        </w:tc>
        <w:tc>
          <w:tcPr>
            <w:tcW w:w="6366" w:type="dxa"/>
            <w:vAlign w:val="center"/>
          </w:tcPr>
          <w:p>
            <w:pPr>
              <w:pStyle w:val="21"/>
              <w:numPr>
                <w:ilvl w:val="0"/>
                <w:numId w:val="36"/>
              </w:numPr>
              <w:adjustRightInd w:val="0"/>
              <w:spacing w:line="360" w:lineRule="auto"/>
              <w:ind w:firstLineChars="0"/>
              <w:contextualSpacing/>
              <w:rPr>
                <w:rFonts w:hint="eastAsia" w:ascii="仿宋" w:hAnsi="仿宋" w:eastAsia="仿宋"/>
                <w:sz w:val="24"/>
                <w:szCs w:val="24"/>
              </w:rPr>
            </w:pPr>
            <w:r>
              <w:rPr>
                <w:rFonts w:ascii="仿宋" w:hAnsi="仿宋" w:eastAsia="仿宋"/>
                <w:sz w:val="24"/>
                <w:szCs w:val="24"/>
              </w:rPr>
              <w:t>为医院临床研究研究人员提供统一的用户登录界面，由机构管理人员进行系统授权，对项目相应的人员权限进行管理，可根据项目授权进入其业务系统；</w:t>
            </w:r>
          </w:p>
          <w:p>
            <w:pPr>
              <w:pStyle w:val="21"/>
              <w:numPr>
                <w:ilvl w:val="0"/>
                <w:numId w:val="36"/>
              </w:numPr>
              <w:adjustRightInd w:val="0"/>
              <w:spacing w:line="360" w:lineRule="auto"/>
              <w:ind w:firstLineChars="0"/>
              <w:contextualSpacing/>
              <w:rPr>
                <w:rFonts w:hint="eastAsia" w:ascii="仿宋" w:hAnsi="仿宋" w:eastAsia="仿宋"/>
                <w:sz w:val="24"/>
                <w:szCs w:val="24"/>
              </w:rPr>
            </w:pPr>
            <w:r>
              <w:rPr>
                <w:rFonts w:ascii="仿宋" w:hAnsi="仿宋" w:eastAsia="仿宋"/>
                <w:sz w:val="24"/>
                <w:szCs w:val="24"/>
              </w:rPr>
              <w:t>为申办方监查等人员提供统一的用户登录界面，严格按照项目使用授权进行系统功能的控制，第三方人员结束授权后可撤销其相应的权限；</w:t>
            </w:r>
          </w:p>
          <w:p>
            <w:pPr>
              <w:pStyle w:val="21"/>
              <w:numPr>
                <w:ilvl w:val="0"/>
                <w:numId w:val="36"/>
              </w:numPr>
              <w:adjustRightInd w:val="0"/>
              <w:spacing w:line="360" w:lineRule="auto"/>
              <w:ind w:firstLineChars="0"/>
              <w:contextualSpacing/>
              <w:rPr>
                <w:rFonts w:hint="eastAsia" w:ascii="仿宋" w:hAnsi="仿宋" w:eastAsia="仿宋"/>
                <w:sz w:val="24"/>
                <w:szCs w:val="24"/>
              </w:rPr>
            </w:pPr>
            <w:r>
              <w:rPr>
                <w:rFonts w:ascii="仿宋" w:hAnsi="仿宋" w:eastAsia="仿宋"/>
                <w:sz w:val="24"/>
                <w:szCs w:val="24"/>
              </w:rPr>
              <w:t>用户登录账户管理；</w:t>
            </w:r>
          </w:p>
          <w:p>
            <w:pPr>
              <w:pStyle w:val="21"/>
              <w:numPr>
                <w:ilvl w:val="0"/>
                <w:numId w:val="36"/>
              </w:numPr>
              <w:adjustRightInd w:val="0"/>
              <w:spacing w:line="360" w:lineRule="auto"/>
              <w:ind w:firstLineChars="0"/>
              <w:contextualSpacing/>
              <w:rPr>
                <w:rFonts w:hint="eastAsia" w:ascii="仿宋" w:hAnsi="仿宋" w:eastAsia="仿宋"/>
                <w:sz w:val="24"/>
                <w:szCs w:val="24"/>
              </w:rPr>
            </w:pPr>
            <w:r>
              <w:rPr>
                <w:rFonts w:ascii="仿宋" w:hAnsi="仿宋" w:eastAsia="仿宋"/>
                <w:sz w:val="24"/>
                <w:szCs w:val="24"/>
              </w:rPr>
              <w:t>用户登录历史管理。</w:t>
            </w:r>
          </w:p>
        </w:tc>
      </w:tr>
    </w:tbl>
    <w:p>
      <w:pPr>
        <w:spacing w:line="360" w:lineRule="auto"/>
        <w:contextualSpacing/>
        <w:outlineLvl w:val="1"/>
        <w:rPr>
          <w:rFonts w:hint="eastAsia" w:ascii="仿宋" w:hAnsi="仿宋" w:eastAsia="仿宋"/>
          <w:color w:val="000000"/>
          <w:sz w:val="24"/>
        </w:rPr>
      </w:pPr>
      <w:r>
        <w:rPr>
          <w:rFonts w:hint="eastAsia" w:ascii="仿宋" w:hAnsi="仿宋" w:eastAsia="仿宋"/>
          <w:color w:val="000000"/>
          <w:sz w:val="24"/>
        </w:rPr>
        <w:t>7</w:t>
      </w:r>
      <w:r>
        <w:rPr>
          <w:rFonts w:ascii="仿宋" w:hAnsi="仿宋" w:eastAsia="仿宋"/>
          <w:color w:val="000000"/>
          <w:sz w:val="24"/>
        </w:rPr>
        <w:t>、临床研究信息集成平台（功能需求）</w:t>
      </w:r>
    </w:p>
    <w:tbl>
      <w:tblPr>
        <w:tblStyle w:val="1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21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shd w:val="clear" w:color="000000" w:fill="D9D9D9"/>
            <w:vAlign w:val="center"/>
          </w:tcPr>
          <w:p>
            <w:pPr>
              <w:widowControl/>
              <w:adjustRightInd w:val="0"/>
              <w:spacing w:line="360" w:lineRule="auto"/>
              <w:contextualSpacing/>
              <w:rPr>
                <w:rFonts w:hint="eastAsia" w:ascii="仿宋" w:hAnsi="仿宋" w:eastAsia="仿宋"/>
                <w:b/>
                <w:color w:val="000000"/>
                <w:kern w:val="0"/>
                <w:sz w:val="24"/>
              </w:rPr>
            </w:pPr>
            <w:r>
              <w:rPr>
                <w:rFonts w:ascii="仿宋" w:hAnsi="仿宋" w:eastAsia="仿宋"/>
                <w:b/>
                <w:color w:val="000000"/>
                <w:kern w:val="0"/>
                <w:sz w:val="24"/>
              </w:rPr>
              <w:t>货物/服务名称</w:t>
            </w:r>
          </w:p>
        </w:tc>
        <w:tc>
          <w:tcPr>
            <w:tcW w:w="7584" w:type="dxa"/>
            <w:gridSpan w:val="2"/>
            <w:shd w:val="clear" w:color="000000" w:fill="D9D9D9"/>
            <w:vAlign w:val="center"/>
          </w:tcPr>
          <w:p>
            <w:pPr>
              <w:widowControl/>
              <w:adjustRightInd w:val="0"/>
              <w:spacing w:line="360" w:lineRule="auto"/>
              <w:contextualSpacing/>
              <w:jc w:val="center"/>
              <w:rPr>
                <w:rFonts w:hint="eastAsia" w:ascii="仿宋" w:hAnsi="仿宋" w:eastAsia="仿宋"/>
                <w:b/>
                <w:color w:val="000000"/>
                <w:kern w:val="0"/>
                <w:sz w:val="24"/>
              </w:rPr>
            </w:pPr>
            <w:r>
              <w:rPr>
                <w:rFonts w:ascii="仿宋" w:hAnsi="仿宋" w:eastAsia="仿宋"/>
                <w:b/>
                <w:color w:val="000000"/>
                <w:kern w:val="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4"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color w:val="000000"/>
                <w:sz w:val="24"/>
              </w:rPr>
              <w:t>1.</w:t>
            </w:r>
            <w:r>
              <w:rPr>
                <w:rFonts w:ascii="仿宋" w:hAnsi="仿宋" w:eastAsia="仿宋"/>
                <w:sz w:val="24"/>
              </w:rPr>
              <w:t xml:space="preserve"> </w:t>
            </w:r>
            <w:r>
              <w:rPr>
                <w:rFonts w:ascii="仿宋" w:hAnsi="仿宋" w:eastAsia="仿宋"/>
                <w:bCs/>
                <w:color w:val="000000"/>
                <w:sz w:val="24"/>
              </w:rPr>
              <w:t>临床研究信息集成平台</w:t>
            </w:r>
          </w:p>
        </w:tc>
        <w:tc>
          <w:tcPr>
            <w:tcW w:w="1218"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kern w:val="0"/>
                <w:sz w:val="24"/>
              </w:rPr>
              <w:t>1.1相关数据接口</w:t>
            </w:r>
          </w:p>
        </w:tc>
        <w:tc>
          <w:tcPr>
            <w:tcW w:w="6366" w:type="dxa"/>
            <w:vAlign w:val="center"/>
          </w:tcPr>
          <w:p>
            <w:pPr>
              <w:numPr>
                <w:ilvl w:val="0"/>
                <w:numId w:val="37"/>
              </w:numPr>
              <w:adjustRightInd w:val="0"/>
              <w:spacing w:line="360" w:lineRule="auto"/>
              <w:contextualSpacing/>
              <w:rPr>
                <w:rFonts w:hint="eastAsia" w:ascii="仿宋" w:hAnsi="仿宋" w:eastAsia="仿宋"/>
                <w:sz w:val="24"/>
              </w:rPr>
            </w:pPr>
            <w:r>
              <w:rPr>
                <w:rFonts w:ascii="仿宋" w:hAnsi="仿宋" w:eastAsia="仿宋"/>
                <w:sz w:val="24"/>
              </w:rPr>
              <w:t>提供与医院业务系统（包括HIS、LIS、EMR等）数据交互提供的标准接口解决方案</w:t>
            </w:r>
            <w:r>
              <w:rPr>
                <w:rFonts w:hint="eastAsia" w:ascii="仿宋" w:hAnsi="仿宋" w:eastAsia="仿宋"/>
                <w:sz w:val="24"/>
              </w:rPr>
              <w:t>；</w:t>
            </w:r>
          </w:p>
          <w:p>
            <w:pPr>
              <w:numPr>
                <w:ilvl w:val="0"/>
                <w:numId w:val="37"/>
              </w:numPr>
              <w:adjustRightInd w:val="0"/>
              <w:spacing w:line="360" w:lineRule="auto"/>
              <w:contextualSpacing/>
              <w:rPr>
                <w:rFonts w:hint="eastAsia" w:ascii="仿宋" w:hAnsi="仿宋" w:eastAsia="仿宋"/>
                <w:sz w:val="24"/>
              </w:rPr>
            </w:pPr>
            <w:r>
              <w:rPr>
                <w:rFonts w:ascii="仿宋" w:hAnsi="仿宋" w:eastAsia="仿宋"/>
                <w:sz w:val="24"/>
              </w:rPr>
              <w:t>与医院信息系统HIS对接；</w:t>
            </w:r>
          </w:p>
          <w:p>
            <w:pPr>
              <w:numPr>
                <w:ilvl w:val="0"/>
                <w:numId w:val="37"/>
              </w:numPr>
              <w:adjustRightInd w:val="0"/>
              <w:spacing w:line="360" w:lineRule="auto"/>
              <w:contextualSpacing/>
              <w:rPr>
                <w:rFonts w:hint="eastAsia" w:ascii="仿宋" w:hAnsi="仿宋" w:eastAsia="仿宋"/>
                <w:sz w:val="24"/>
              </w:rPr>
            </w:pPr>
            <w:r>
              <w:rPr>
                <w:rFonts w:ascii="仿宋" w:hAnsi="仿宋" w:eastAsia="仿宋"/>
                <w:sz w:val="24"/>
              </w:rPr>
              <w:t>与医院实验室信息系统LIS获取患者检验结果等；</w:t>
            </w:r>
          </w:p>
          <w:p>
            <w:pPr>
              <w:numPr>
                <w:ilvl w:val="0"/>
                <w:numId w:val="37"/>
              </w:numPr>
              <w:adjustRightInd w:val="0"/>
              <w:spacing w:line="360" w:lineRule="auto"/>
              <w:contextualSpacing/>
              <w:rPr>
                <w:rFonts w:hint="eastAsia" w:ascii="仿宋" w:hAnsi="仿宋" w:eastAsia="仿宋"/>
                <w:sz w:val="24"/>
              </w:rPr>
            </w:pPr>
            <w:r>
              <w:rPr>
                <w:rFonts w:ascii="仿宋" w:hAnsi="仿宋" w:eastAsia="仿宋"/>
                <w:sz w:val="24"/>
              </w:rPr>
              <w:t>采用Web Service方式进行接口数据交互；</w:t>
            </w:r>
          </w:p>
          <w:p>
            <w:pPr>
              <w:numPr>
                <w:ilvl w:val="0"/>
                <w:numId w:val="37"/>
              </w:numPr>
              <w:adjustRightInd w:val="0"/>
              <w:spacing w:line="360" w:lineRule="auto"/>
              <w:contextualSpacing/>
              <w:rPr>
                <w:rFonts w:hint="eastAsia" w:ascii="仿宋" w:hAnsi="仿宋" w:eastAsia="仿宋"/>
                <w:sz w:val="24"/>
              </w:rPr>
            </w:pPr>
            <w:r>
              <w:rPr>
                <w:rFonts w:ascii="仿宋" w:hAnsi="仿宋" w:eastAsia="仿宋"/>
                <w:sz w:val="24"/>
              </w:rPr>
              <w:t>完成与院方集成平台对接接口管控和数据交互；</w:t>
            </w:r>
          </w:p>
          <w:p>
            <w:pPr>
              <w:numPr>
                <w:ilvl w:val="0"/>
                <w:numId w:val="37"/>
              </w:numPr>
              <w:adjustRightInd w:val="0"/>
              <w:spacing w:line="360" w:lineRule="auto"/>
              <w:contextualSpacing/>
              <w:rPr>
                <w:rFonts w:hint="eastAsia" w:ascii="仿宋" w:hAnsi="仿宋" w:eastAsia="仿宋"/>
                <w:sz w:val="24"/>
              </w:rPr>
            </w:pPr>
            <w:r>
              <w:rPr>
                <w:rFonts w:ascii="仿宋" w:hAnsi="仿宋" w:eastAsia="仿宋"/>
                <w:sz w:val="24"/>
              </w:rPr>
              <w:t>完成短信平台接口，按照设定条件自动发送信息。</w:t>
            </w:r>
          </w:p>
        </w:tc>
      </w:tr>
    </w:tbl>
    <w:p>
      <w:pPr>
        <w:spacing w:line="360" w:lineRule="auto"/>
        <w:contextualSpacing/>
        <w:outlineLvl w:val="1"/>
        <w:rPr>
          <w:rFonts w:hint="eastAsia" w:ascii="仿宋" w:hAnsi="仿宋" w:eastAsia="仿宋"/>
          <w:color w:val="000000"/>
          <w:sz w:val="24"/>
        </w:rPr>
      </w:pPr>
      <w:r>
        <w:rPr>
          <w:rFonts w:hint="eastAsia" w:ascii="仿宋" w:hAnsi="仿宋" w:eastAsia="仿宋"/>
          <w:color w:val="000000"/>
          <w:sz w:val="24"/>
        </w:rPr>
        <w:t>8</w:t>
      </w:r>
      <w:r>
        <w:rPr>
          <w:rFonts w:ascii="仿宋" w:hAnsi="仿宋" w:eastAsia="仿宋"/>
          <w:color w:val="000000"/>
          <w:sz w:val="24"/>
        </w:rPr>
        <w:t>、</w:t>
      </w:r>
      <w:r>
        <w:rPr>
          <w:rFonts w:hint="eastAsia" w:ascii="仿宋" w:hAnsi="仿宋" w:eastAsia="仿宋"/>
          <w:color w:val="000000"/>
          <w:sz w:val="24"/>
        </w:rPr>
        <w:t>第三方系统接口</w:t>
      </w:r>
      <w:r>
        <w:rPr>
          <w:rFonts w:ascii="仿宋" w:hAnsi="仿宋" w:eastAsia="仿宋"/>
          <w:color w:val="000000"/>
          <w:sz w:val="24"/>
        </w:rPr>
        <w:t>改造</w:t>
      </w:r>
    </w:p>
    <w:tbl>
      <w:tblPr>
        <w:tblStyle w:val="1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47"/>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5" w:type="dxa"/>
            <w:shd w:val="clear" w:color="000000" w:fill="D9D9D9"/>
            <w:vAlign w:val="center"/>
          </w:tcPr>
          <w:p>
            <w:pPr>
              <w:widowControl/>
              <w:adjustRightInd w:val="0"/>
              <w:spacing w:line="360" w:lineRule="auto"/>
              <w:contextualSpacing/>
              <w:rPr>
                <w:rFonts w:hint="eastAsia" w:ascii="仿宋" w:hAnsi="仿宋" w:eastAsia="仿宋"/>
                <w:b/>
                <w:color w:val="000000"/>
                <w:kern w:val="0"/>
                <w:sz w:val="24"/>
              </w:rPr>
            </w:pPr>
            <w:r>
              <w:rPr>
                <w:rFonts w:ascii="仿宋" w:hAnsi="仿宋" w:eastAsia="仿宋"/>
                <w:b/>
                <w:color w:val="000000"/>
                <w:kern w:val="0"/>
                <w:sz w:val="24"/>
              </w:rPr>
              <w:t>货物/服务名称</w:t>
            </w:r>
          </w:p>
        </w:tc>
        <w:tc>
          <w:tcPr>
            <w:tcW w:w="7513" w:type="dxa"/>
            <w:gridSpan w:val="2"/>
            <w:shd w:val="clear" w:color="000000" w:fill="D9D9D9"/>
            <w:vAlign w:val="center"/>
          </w:tcPr>
          <w:p>
            <w:pPr>
              <w:widowControl/>
              <w:adjustRightInd w:val="0"/>
              <w:spacing w:line="360" w:lineRule="auto"/>
              <w:contextualSpacing/>
              <w:rPr>
                <w:rFonts w:hint="eastAsia" w:ascii="仿宋" w:hAnsi="仿宋" w:eastAsia="仿宋"/>
                <w:b/>
                <w:color w:val="000000"/>
                <w:kern w:val="0"/>
                <w:sz w:val="24"/>
              </w:rPr>
            </w:pPr>
            <w:r>
              <w:rPr>
                <w:rFonts w:ascii="仿宋" w:hAnsi="仿宋" w:eastAsia="仿宋"/>
                <w:b/>
                <w:color w:val="000000"/>
                <w:kern w:val="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5" w:type="dxa"/>
            <w:vAlign w:val="center"/>
          </w:tcPr>
          <w:p>
            <w:pPr>
              <w:adjustRightInd w:val="0"/>
              <w:spacing w:line="360" w:lineRule="auto"/>
              <w:contextualSpacing/>
              <w:rPr>
                <w:rFonts w:hint="eastAsia" w:ascii="仿宋" w:hAnsi="仿宋" w:eastAsia="仿宋"/>
                <w:bCs/>
                <w:color w:val="000000"/>
                <w:sz w:val="24"/>
              </w:rPr>
            </w:pPr>
            <w:r>
              <w:rPr>
                <w:rFonts w:ascii="仿宋" w:hAnsi="仿宋" w:eastAsia="仿宋"/>
                <w:bCs/>
                <w:color w:val="000000"/>
                <w:sz w:val="24"/>
              </w:rPr>
              <w:t>1.</w:t>
            </w:r>
            <w:r>
              <w:rPr>
                <w:rFonts w:ascii="仿宋" w:hAnsi="仿宋" w:eastAsia="仿宋"/>
                <w:sz w:val="24"/>
              </w:rPr>
              <w:t xml:space="preserve"> </w:t>
            </w:r>
            <w:r>
              <w:rPr>
                <w:rFonts w:ascii="仿宋" w:hAnsi="仿宋" w:eastAsia="仿宋"/>
                <w:bCs/>
                <w:color w:val="000000"/>
                <w:sz w:val="24"/>
              </w:rPr>
              <w:t>HIS系统改造</w:t>
            </w:r>
          </w:p>
        </w:tc>
        <w:tc>
          <w:tcPr>
            <w:tcW w:w="1147" w:type="dxa"/>
            <w:vAlign w:val="center"/>
          </w:tcPr>
          <w:p>
            <w:pPr>
              <w:adjustRightInd w:val="0"/>
              <w:spacing w:line="360" w:lineRule="auto"/>
              <w:contextualSpacing/>
              <w:rPr>
                <w:rFonts w:hint="eastAsia" w:ascii="仿宋" w:hAnsi="仿宋" w:eastAsia="仿宋"/>
                <w:bCs/>
                <w:color w:val="000000"/>
                <w:sz w:val="24"/>
              </w:rPr>
            </w:pPr>
            <w:r>
              <w:rPr>
                <w:rFonts w:hint="eastAsia" w:ascii="仿宋" w:hAnsi="仿宋" w:eastAsia="仿宋"/>
                <w:kern w:val="0"/>
                <w:sz w:val="24"/>
              </w:rPr>
              <w:t>1.1 相关数据接口及系统改造</w:t>
            </w:r>
          </w:p>
        </w:tc>
        <w:tc>
          <w:tcPr>
            <w:tcW w:w="6366" w:type="dxa"/>
            <w:vAlign w:val="center"/>
          </w:tcPr>
          <w:p>
            <w:pPr>
              <w:numPr>
                <w:ilvl w:val="0"/>
                <w:numId w:val="38"/>
              </w:numPr>
              <w:adjustRightInd w:val="0"/>
              <w:spacing w:line="360" w:lineRule="auto"/>
              <w:contextualSpacing/>
              <w:rPr>
                <w:rFonts w:hint="eastAsia" w:ascii="仿宋" w:hAnsi="仿宋" w:eastAsia="仿宋"/>
                <w:sz w:val="24"/>
              </w:rPr>
            </w:pPr>
            <w:r>
              <w:rPr>
                <w:rFonts w:hint="eastAsia" w:ascii="仿宋" w:hAnsi="仿宋" w:eastAsia="仿宋"/>
                <w:sz w:val="24"/>
              </w:rPr>
              <w:t>配合研究型病房管理信息平台提供数据接口，包括提供医院人员、科室、检验检查字典、门诊、住 院记录，医嘱开单及报告回传；</w:t>
            </w:r>
          </w:p>
          <w:p>
            <w:pPr>
              <w:numPr>
                <w:ilvl w:val="0"/>
                <w:numId w:val="38"/>
              </w:numPr>
              <w:adjustRightInd w:val="0"/>
              <w:spacing w:line="360" w:lineRule="auto"/>
              <w:contextualSpacing/>
              <w:rPr>
                <w:rFonts w:hint="eastAsia" w:ascii="仿宋" w:hAnsi="仿宋" w:eastAsia="仿宋"/>
                <w:sz w:val="24"/>
              </w:rPr>
            </w:pPr>
            <w:r>
              <w:rPr>
                <w:rFonts w:hint="eastAsia" w:ascii="仿宋" w:hAnsi="仿宋" w:eastAsia="仿宋"/>
                <w:sz w:val="24"/>
              </w:rPr>
              <w:t>配合研究型病房管理信息平台进行系统改造，支持受试者标记，区分患者与受试者，以及在HIS中进行信息展示。</w:t>
            </w:r>
          </w:p>
        </w:tc>
      </w:tr>
    </w:tbl>
    <w:p>
      <w:pPr>
        <w:spacing w:line="360" w:lineRule="auto"/>
        <w:contextualSpacing/>
        <w:rPr>
          <w:rFonts w:hint="eastAsia" w:ascii="仿宋" w:hAnsi="仿宋" w:eastAsia="仿宋"/>
          <w:b/>
          <w:color w:val="000000"/>
          <w:sz w:val="24"/>
        </w:rPr>
      </w:pPr>
      <w:r>
        <w:rPr>
          <w:rFonts w:ascii="仿宋" w:hAnsi="仿宋" w:eastAsia="仿宋"/>
          <w:b/>
          <w:color w:val="000000"/>
          <w:sz w:val="24"/>
        </w:rPr>
        <w:t>说明：</w:t>
      </w:r>
    </w:p>
    <w:p>
      <w:pPr>
        <w:spacing w:line="360" w:lineRule="auto"/>
        <w:contextualSpacing/>
        <w:rPr>
          <w:rFonts w:hint="eastAsia"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标注 “</w:t>
      </w:r>
      <w:r>
        <w:rPr>
          <w:rFonts w:ascii="仿宋" w:hAnsi="仿宋" w:eastAsia="仿宋"/>
          <w:b/>
          <w:bCs/>
          <w:color w:val="000000"/>
          <w:kern w:val="0"/>
          <w:sz w:val="24"/>
        </w:rPr>
        <w:t>#、</w:t>
      </w:r>
      <w:r>
        <w:rPr>
          <w:rFonts w:ascii="仿宋" w:hAnsi="仿宋" w:eastAsia="仿宋"/>
          <w:b/>
          <w:color w:val="000000"/>
          <w:sz w:val="24"/>
        </w:rPr>
        <w:t>▲”的条款为评标时重要评分指标，不满足者将会被扣分，不作为无效投标条款。</w:t>
      </w:r>
    </w:p>
    <w:p>
      <w:pPr>
        <w:pStyle w:val="12"/>
        <w:rPr>
          <w:rFonts w:hint="eastAsia"/>
          <w:b/>
        </w:rPr>
      </w:pPr>
      <w:r>
        <w:rPr>
          <w:rFonts w:hint="eastAsia"/>
          <w:b/>
        </w:rPr>
        <w:t>2、其中标注 “▲”条款的需投标人提供现场系统演示作为证书，不接受视频、录像等方式演示，演示时间≤15分钟，投标人自备演示需要的设备，演示顺序与递交投标文件顺序相同，未提供演示的不得分。</w:t>
      </w:r>
    </w:p>
    <w:p>
      <w:pPr>
        <w:pStyle w:val="12"/>
        <w:rPr>
          <w:rFonts w:hint="eastAsia"/>
        </w:rPr>
        <w:sectPr>
          <w:headerReference r:id="rId6" w:type="default"/>
          <w:footerReference r:id="rId7" w:type="default"/>
          <w:footerReference r:id="rId8" w:type="even"/>
          <w:pgSz w:w="11907" w:h="16840"/>
          <w:pgMar w:top="1418" w:right="1134" w:bottom="1418" w:left="1701" w:header="851" w:footer="851" w:gutter="0"/>
          <w:cols w:space="720" w:num="1"/>
          <w:docGrid w:linePitch="462" w:charSpace="0"/>
        </w:sectPr>
      </w:pPr>
      <w:r>
        <w:rPr>
          <w:rFonts w:hint="eastAsia"/>
          <w:b/>
        </w:rPr>
        <w:t>3）其中标注 “#”条款的需投标人提供清晰辨别的系统截图并加盖投标人公章作为证明材料，否则视为该项不满足或负偏离。</w:t>
      </w:r>
    </w:p>
    <w:p>
      <w:pPr>
        <w:jc w:val="both"/>
        <w:rPr>
          <w:rFonts w:hint="default"/>
          <w:b/>
          <w:bCs/>
          <w:sz w:val="32"/>
          <w:szCs w:val="40"/>
          <w:lang w:val="en-US" w:eastAsia="zh-CN"/>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hint="eastAsia"/>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51</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51</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hint="eastAsia"/>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63</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jc w:val="left"/>
                          </w:pPr>
                          <w:r>
                            <w:rPr>
                              <w:rFonts w:hint="eastAsia"/>
                            </w:rPr>
                            <w:t>招标</w:t>
                          </w:r>
                          <w:r>
                            <w:t>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jc w:val="left"/>
                    </w:pPr>
                    <w:r>
                      <w:rPr>
                        <w:rFonts w:hint="eastAsia"/>
                      </w:rPr>
                      <w:t>招标</w:t>
                    </w:r>
                    <w:r>
                      <w:t>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5"/>
    <w:multiLevelType w:val="multilevel"/>
    <w:tmpl w:val="000000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A"/>
    <w:multiLevelType w:val="multilevel"/>
    <w:tmpl w:val="0000000A"/>
    <w:lvl w:ilvl="0" w:tentative="0">
      <w:start w:val="1"/>
      <w:numFmt w:val="decimal"/>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B"/>
    <w:multiLevelType w:val="multilevel"/>
    <w:tmpl w:val="0000000B"/>
    <w:lvl w:ilvl="0" w:tentative="0">
      <w:start w:val="1"/>
      <w:numFmt w:val="decimal"/>
      <w:lvlText w:val="%1)"/>
      <w:lvlJc w:val="left"/>
      <w:pPr>
        <w:ind w:left="420" w:hanging="420"/>
      </w:pPr>
      <w:rPr>
        <w:b w:val="0"/>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C"/>
    <w:multiLevelType w:val="multilevel"/>
    <w:tmpl w:val="0000000C"/>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D"/>
    <w:multiLevelType w:val="multilevel"/>
    <w:tmpl w:val="0000000D"/>
    <w:lvl w:ilvl="0" w:tentative="0">
      <w:start w:val="1"/>
      <w:numFmt w:val="lowerLetter"/>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0000000E"/>
    <w:multiLevelType w:val="multilevel"/>
    <w:tmpl w:val="000000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F"/>
    <w:multiLevelType w:val="multilevel"/>
    <w:tmpl w:val="000000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0"/>
    <w:multiLevelType w:val="multilevel"/>
    <w:tmpl w:val="000000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1"/>
    <w:multiLevelType w:val="multilevel"/>
    <w:tmpl w:val="00000011"/>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3"/>
    <w:multiLevelType w:val="singleLevel"/>
    <w:tmpl w:val="00000013"/>
    <w:lvl w:ilvl="0" w:tentative="0">
      <w:start w:val="1"/>
      <w:numFmt w:val="decimal"/>
      <w:lvlText w:val="%1."/>
      <w:lvlJc w:val="left"/>
      <w:pPr>
        <w:tabs>
          <w:tab w:val="left" w:pos="360"/>
        </w:tabs>
        <w:ind w:left="360" w:hanging="360"/>
      </w:pPr>
      <w:rPr>
        <w:rFonts w:hint="default"/>
      </w:rPr>
    </w:lvl>
  </w:abstractNum>
  <w:abstractNum w:abstractNumId="17">
    <w:nsid w:val="00000014"/>
    <w:multiLevelType w:val="multilevel"/>
    <w:tmpl w:val="00000014"/>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8"/>
    <w:multiLevelType w:val="multilevel"/>
    <w:tmpl w:val="000000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9"/>
    <w:multiLevelType w:val="multilevel"/>
    <w:tmpl w:val="000000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C"/>
    <w:multiLevelType w:val="multilevel"/>
    <w:tmpl w:val="000000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1D"/>
    <w:multiLevelType w:val="multilevel"/>
    <w:tmpl w:val="00000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1E"/>
    <w:multiLevelType w:val="multilevel"/>
    <w:tmpl w:val="0000001E"/>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1F"/>
    <w:multiLevelType w:val="multilevel"/>
    <w:tmpl w:val="000000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20"/>
    <w:multiLevelType w:val="multilevel"/>
    <w:tmpl w:val="000000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21"/>
    <w:multiLevelType w:val="multilevel"/>
    <w:tmpl w:val="000000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22"/>
    <w:multiLevelType w:val="multilevel"/>
    <w:tmpl w:val="0000002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0000023"/>
    <w:multiLevelType w:val="singleLevel"/>
    <w:tmpl w:val="00000023"/>
    <w:lvl w:ilvl="0" w:tentative="0">
      <w:start w:val="1"/>
      <w:numFmt w:val="chineseCounting"/>
      <w:suff w:val="nothing"/>
      <w:lvlText w:val="%1、"/>
      <w:lvlJc w:val="left"/>
      <w:rPr>
        <w:rFonts w:hint="eastAsia"/>
      </w:rPr>
    </w:lvl>
  </w:abstractNum>
  <w:abstractNum w:abstractNumId="31">
    <w:nsid w:val="00000024"/>
    <w:multiLevelType w:val="multilevel"/>
    <w:tmpl w:val="000000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0000025"/>
    <w:multiLevelType w:val="multilevel"/>
    <w:tmpl w:val="000000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00000026"/>
    <w:multiLevelType w:val="multilevel"/>
    <w:tmpl w:val="00000026"/>
    <w:lvl w:ilvl="0" w:tentative="0">
      <w:start w:val="1"/>
      <w:numFmt w:val="decimal"/>
      <w:isLgl/>
      <w:suff w:val="nothing"/>
      <w:lvlText w:val="%1　"/>
      <w:lvlJc w:val="left"/>
      <w:pPr>
        <w:ind w:left="-25" w:firstLine="0"/>
      </w:pPr>
      <w:rPr>
        <w:rFonts w:hint="default" w:ascii="仿宋" w:hAnsi="仿宋" w:eastAsia="仿宋"/>
        <w:b w:val="0"/>
        <w:i w:val="0"/>
        <w:color w:val="auto"/>
        <w:sz w:val="24"/>
        <w:u w:val="none"/>
      </w:rPr>
    </w:lvl>
    <w:lvl w:ilvl="1" w:tentative="0">
      <w:start w:val="1"/>
      <w:numFmt w:val="decimal"/>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34">
    <w:nsid w:val="00000027"/>
    <w:multiLevelType w:val="multilevel"/>
    <w:tmpl w:val="000000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2DB3159"/>
    <w:multiLevelType w:val="multilevel"/>
    <w:tmpl w:val="02DB31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C243751"/>
    <w:multiLevelType w:val="multilevel"/>
    <w:tmpl w:val="7C243751"/>
    <w:lvl w:ilvl="0" w:tentative="0">
      <w:start w:val="5"/>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6"/>
  </w:num>
  <w:num w:numId="2">
    <w:abstractNumId w:val="37"/>
  </w:num>
  <w:num w:numId="3">
    <w:abstractNumId w:val="30"/>
  </w:num>
  <w:num w:numId="4">
    <w:abstractNumId w:val="18"/>
  </w:num>
  <w:num w:numId="5">
    <w:abstractNumId w:val="7"/>
  </w:num>
  <w:num w:numId="6">
    <w:abstractNumId w:val="5"/>
  </w:num>
  <w:num w:numId="7">
    <w:abstractNumId w:val="35"/>
  </w:num>
  <w:num w:numId="8">
    <w:abstractNumId w:val="0"/>
  </w:num>
  <w:num w:numId="9">
    <w:abstractNumId w:val="23"/>
  </w:num>
  <w:num w:numId="10">
    <w:abstractNumId w:val="24"/>
  </w:num>
  <w:num w:numId="11">
    <w:abstractNumId w:val="31"/>
  </w:num>
  <w:num w:numId="12">
    <w:abstractNumId w:val="27"/>
  </w:num>
  <w:num w:numId="13">
    <w:abstractNumId w:val="11"/>
  </w:num>
  <w:num w:numId="14">
    <w:abstractNumId w:val="4"/>
  </w:num>
  <w:num w:numId="15">
    <w:abstractNumId w:val="20"/>
  </w:num>
  <w:num w:numId="16">
    <w:abstractNumId w:val="19"/>
  </w:num>
  <w:num w:numId="17">
    <w:abstractNumId w:val="2"/>
  </w:num>
  <w:num w:numId="18">
    <w:abstractNumId w:val="16"/>
  </w:num>
  <w:num w:numId="19">
    <w:abstractNumId w:val="14"/>
  </w:num>
  <w:num w:numId="20">
    <w:abstractNumId w:val="26"/>
  </w:num>
  <w:num w:numId="21">
    <w:abstractNumId w:val="9"/>
  </w:num>
  <w:num w:numId="22">
    <w:abstractNumId w:val="33"/>
  </w:num>
  <w:num w:numId="23">
    <w:abstractNumId w:val="10"/>
  </w:num>
  <w:num w:numId="24">
    <w:abstractNumId w:val="15"/>
  </w:num>
  <w:num w:numId="25">
    <w:abstractNumId w:val="6"/>
  </w:num>
  <w:num w:numId="26">
    <w:abstractNumId w:val="34"/>
  </w:num>
  <w:num w:numId="27">
    <w:abstractNumId w:val="12"/>
  </w:num>
  <w:num w:numId="28">
    <w:abstractNumId w:val="21"/>
  </w:num>
  <w:num w:numId="29">
    <w:abstractNumId w:val="32"/>
  </w:num>
  <w:num w:numId="30">
    <w:abstractNumId w:val="13"/>
  </w:num>
  <w:num w:numId="31">
    <w:abstractNumId w:val="8"/>
  </w:num>
  <w:num w:numId="32">
    <w:abstractNumId w:val="1"/>
  </w:num>
  <w:num w:numId="33">
    <w:abstractNumId w:val="17"/>
  </w:num>
  <w:num w:numId="34">
    <w:abstractNumId w:val="29"/>
  </w:num>
  <w:num w:numId="35">
    <w:abstractNumId w:val="25"/>
  </w:num>
  <w:num w:numId="36">
    <w:abstractNumId w:val="28"/>
  </w:num>
  <w:num w:numId="37">
    <w:abstractNumId w:val="2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15D44089"/>
    <w:rsid w:val="4B7E2B6C"/>
    <w:rsid w:val="5D9D153B"/>
    <w:rsid w:val="631C3155"/>
    <w:rsid w:val="6DA01CBF"/>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annotation text"/>
    <w:basedOn w:val="1"/>
    <w:qFormat/>
    <w:uiPriority w:val="99"/>
    <w:pPr>
      <w:jc w:val="left"/>
    </w:pPr>
  </w:style>
  <w:style w:type="paragraph" w:styleId="5">
    <w:name w:val="Body Text"/>
    <w:basedOn w:val="1"/>
    <w:qFormat/>
    <w:uiPriority w:val="99"/>
    <w:pPr>
      <w:tabs>
        <w:tab w:val="left" w:pos="567"/>
      </w:tabs>
      <w:spacing w:before="120" w:line="22" w:lineRule="atLeast"/>
    </w:pPr>
    <w:rPr>
      <w:rFonts w:ascii="宋体" w:hAnsi="宋体"/>
      <w:sz w:val="24"/>
    </w:rPr>
  </w:style>
  <w:style w:type="paragraph" w:styleId="6">
    <w:name w:val="Body Text Indent"/>
    <w:basedOn w:val="1"/>
    <w:qFormat/>
    <w:uiPriority w:val="99"/>
    <w:pPr>
      <w:spacing w:line="360" w:lineRule="auto"/>
      <w:ind w:firstLine="570"/>
    </w:pPr>
    <w:rPr>
      <w:sz w:val="24"/>
    </w:rPr>
  </w:style>
  <w:style w:type="paragraph" w:styleId="7">
    <w:name w:val="Plain Text"/>
    <w:basedOn w:val="1"/>
    <w:qFormat/>
    <w:uiPriority w:val="0"/>
    <w:rPr>
      <w:rFonts w:hint="eastAsia"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right" w:leader="dot" w:pos="8937"/>
      </w:tabs>
      <w:spacing w:line="312" w:lineRule="auto"/>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6"/>
    <w:qFormat/>
    <w:uiPriority w:val="0"/>
    <w:pPr>
      <w:spacing w:after="120" w:line="480" w:lineRule="exact"/>
      <w:ind w:firstLine="0"/>
    </w:pPr>
    <w:rPr>
      <w:rFonts w:ascii="仿宋" w:hAnsi="仿宋" w:eastAsia="仿宋" w:cs="宋体"/>
      <w:kern w:val="0"/>
    </w:rPr>
  </w:style>
  <w:style w:type="character" w:styleId="15">
    <w:name w:val="page number"/>
    <w:qFormat/>
    <w:uiPriority w:val="0"/>
  </w:style>
  <w:style w:type="character" w:styleId="16">
    <w:name w:val="annotation reference"/>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 w:type="paragraph" w:customStyle="1" w:styleId="1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0">
    <w:name w:val="列表段落2"/>
    <w:basedOn w:val="1"/>
    <w:qFormat/>
    <w:uiPriority w:val="0"/>
    <w:pPr>
      <w:ind w:firstLine="420" w:firstLineChars="200"/>
    </w:pPr>
    <w:rPr>
      <w:rFonts w:ascii="Times New Roman" w:hAnsi="Times New Roman"/>
    </w:rPr>
  </w:style>
  <w:style w:type="paragraph" w:customStyle="1" w:styleId="21">
    <w:name w:val="列出段落1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2024-11-12T06:47:13Z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