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首都儿科研究所2024年儿童遗传病相关检测项目(测试化验加工费)采购需求</w:t>
      </w:r>
    </w:p>
    <w:p>
      <w:pPr>
        <w:pStyle w:val="2"/>
        <w:snapToGrid w:val="0"/>
        <w:spacing w:before="0" w:line="540" w:lineRule="exact"/>
        <w:jc w:val="left"/>
        <w:rPr>
          <w:rFonts w:ascii="仿宋_GB2312" w:hAnsi="仿宋_GB2312" w:eastAsia="仿宋_GB2312" w:cs="仿宋_GB2312"/>
          <w:sz w:val="24"/>
          <w:szCs w:val="24"/>
        </w:rPr>
      </w:pPr>
      <w:bookmarkStart w:id="0" w:name="_Toc35393790"/>
      <w:bookmarkStart w:id="1" w:name="_Toc28359079"/>
      <w:bookmarkStart w:id="2" w:name="_Toc35393621"/>
      <w:bookmarkStart w:id="3" w:name="_Toc28359002"/>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bookmarkEnd w:id="4"/>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0701-244106030413</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2024年儿童遗传病相关检测项目(测试化验加工费)</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ascii="仿宋_GB2312" w:hAnsi="仿宋_GB2312" w:eastAsia="仿宋_GB2312" w:cs="仿宋_GB2312"/>
          <w:sz w:val="24"/>
          <w:u w:val="single"/>
        </w:rPr>
        <w:t>1074.36</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040"/>
        <w:gridCol w:w="2602"/>
        <w:gridCol w:w="1301"/>
        <w:gridCol w:w="912"/>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1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品目号</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采购包预算金额（万元）</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04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全外显子测序</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364</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Sanger测序</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19.2</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2-1</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全基因组CNV检测</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97.5</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3-1</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朗格罕组织细胞增多症热点基因检测</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22.5</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4-1</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儿童疾病panel测序-1</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8.8</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儿童疾病panel测序-2</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2.7</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4-3</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儿童疾病panel测序-3</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4-4</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儿童疾病panel测序-4</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48</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4-5</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儿童疾病panel测序-5</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2.5</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4-6</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儿童疾病panel测序-6</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50.4</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4-7</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儿童疾病panel测序-7</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117</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4-8</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儿童疾病panel测序-8</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33</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5-1</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人类白细胞抗原高分辨配型（HLA）</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41.58</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5-2</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群体反应性抗体筛查</w:t>
            </w:r>
            <w:r>
              <w:rPr>
                <w:rFonts w:ascii="仿宋" w:hAnsi="仿宋" w:eastAsia="仿宋" w:cs="宋体"/>
                <w:kern w:val="0"/>
                <w:sz w:val="24"/>
              </w:rPr>
              <w:t>(PRA)</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13.86</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vMerge w:val="continue"/>
            <w:shd w:val="clear" w:color="auto" w:fill="auto"/>
            <w:vAlign w:val="center"/>
          </w:tcPr>
          <w:p>
            <w:pPr>
              <w:widowControl/>
              <w:jc w:val="center"/>
              <w:rPr>
                <w:rFonts w:ascii="仿宋" w:hAnsi="仿宋" w:eastAsia="仿宋" w:cs="宋体"/>
                <w:kern w:val="0"/>
                <w:sz w:val="24"/>
              </w:rPr>
            </w:pP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5-3</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移植术后动态监测(TCA)</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165</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61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6-1</w:t>
            </w:r>
          </w:p>
        </w:tc>
        <w:tc>
          <w:tcPr>
            <w:tcW w:w="15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儿童安全用药基因检测</w:t>
            </w:r>
          </w:p>
        </w:tc>
        <w:tc>
          <w:tcPr>
            <w:tcW w:w="76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85.32</w:t>
            </w:r>
          </w:p>
        </w:tc>
        <w:tc>
          <w:tcPr>
            <w:tcW w:w="53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c>
          <w:tcPr>
            <w:tcW w:w="104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bl>
    <w:p>
      <w:pPr>
        <w:pStyle w:val="16"/>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采购项目（标的）交付的时间（服务期限）：自签订合同之日起一年。</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2、采购项目（标的）交付的地点（服务地点）：首都儿科研究所指定地点。</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服务期限：自签订合同之日起一年。</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7"/>
        <w:spacing w:before="156" w:beforeLines="50" w:line="360" w:lineRule="auto"/>
        <w:ind w:firstLine="480" w:firstLineChars="200"/>
        <w:rPr>
          <w:rStyle w:val="15"/>
          <w:rFonts w:hint="default" w:ascii="Calibri" w:hAnsi="Calibri"/>
          <w:color w:val="FF0000"/>
        </w:rPr>
      </w:pPr>
      <w:r>
        <w:rPr>
          <w:rFonts w:ascii="仿宋" w:hAnsi="仿宋" w:eastAsia="仿宋"/>
          <w:color w:val="FF0000"/>
          <w:sz w:val="24"/>
        </w:rPr>
        <w:t>基于技术目标和技术内容中所规定的研究内容，投标人提供的数据量、数据质量、在约定的检测周期内数据分析结果全部达到合同规定标准，并得到采购人确认。投标人交付全部成果和原始数据且经采购人验收合格，为交付完成。</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详见七、采购标的需满足的质量、安全、技术规格、物理特性等要求。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snapToGrid w:val="0"/>
        <w:spacing w:line="540" w:lineRule="exact"/>
        <w:jc w:val="center"/>
        <w:outlineLvl w:val="0"/>
        <w:rPr>
          <w:b/>
          <w:sz w:val="36"/>
          <w:szCs w:val="36"/>
        </w:rPr>
      </w:pPr>
      <w:bookmarkStart w:id="5" w:name="_Toc144388278"/>
      <w:r>
        <w:rPr>
          <w:b/>
          <w:sz w:val="36"/>
          <w:szCs w:val="36"/>
        </w:rPr>
        <w:t>第五章</w:t>
      </w:r>
      <w:r>
        <w:rPr>
          <w:rFonts w:hint="eastAsia"/>
          <w:b/>
          <w:sz w:val="36"/>
          <w:szCs w:val="36"/>
        </w:rPr>
        <w:t xml:space="preserve"> </w:t>
      </w:r>
      <w:r>
        <w:rPr>
          <w:b/>
          <w:sz w:val="36"/>
          <w:szCs w:val="36"/>
        </w:rPr>
        <w:t>采购需求</w:t>
      </w:r>
      <w:bookmarkEnd w:id="5"/>
    </w:p>
    <w:p>
      <w:pPr>
        <w:pStyle w:val="16"/>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6"/>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购置2024年儿童遗传病相关检测项目(测试化验加工费)，投标人应根据招标文件所提出的技术规格和服务要求，综合考虑前来投标。投标人应以技术先进的设备、优良的服务和优惠的价格，充分显示自己的竞争实力。</w:t>
      </w:r>
    </w:p>
    <w:p>
      <w:pPr>
        <w:pStyle w:val="16"/>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6"/>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6"/>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详见下文。</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6"/>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094"/>
        <w:gridCol w:w="3785"/>
        <w:gridCol w:w="127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包号</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品目号</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标的名称</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数量</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27" w:type="pct"/>
            <w:vMerge w:val="restar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全外显子测序</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1-2</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Sanger测序</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2-1</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全基因组CNV检测</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3-1</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朗格罕组织细胞增多症热点基因检测</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restar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4-1</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儿童疾病panel测序-1</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4-2</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儿童疾病panel测序-2</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4-3</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儿童疾病panel测序-3</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4-4</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儿童疾病panel测序-4</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4-5</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儿童疾病panel测序-5</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4-6</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儿童疾病panel测序-6</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4-7</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儿童疾病panel测序-7</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4-8</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儿童疾病panel测序-8</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restar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5-1</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人类白细胞抗原高分辨配型（HLA）</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5-2</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群体反应性抗体筛查</w:t>
            </w:r>
            <w:r>
              <w:rPr>
                <w:rFonts w:ascii="仿宋" w:hAnsi="仿宋" w:eastAsia="仿宋" w:cs="宋体"/>
                <w:kern w:val="0"/>
                <w:sz w:val="24"/>
              </w:rPr>
              <w:t>(PRA)</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vMerge w:val="continue"/>
            <w:shd w:val="clear" w:color="auto" w:fill="auto"/>
            <w:vAlign w:val="center"/>
          </w:tcPr>
          <w:p>
            <w:pPr>
              <w:widowControl/>
              <w:spacing w:line="360" w:lineRule="auto"/>
              <w:jc w:val="center"/>
              <w:rPr>
                <w:rFonts w:ascii="仿宋" w:hAnsi="仿宋" w:eastAsia="仿宋" w:cs="宋体"/>
                <w:kern w:val="0"/>
                <w:sz w:val="24"/>
              </w:rPr>
            </w:pP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5-3</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移植术后动态监测(TCA)</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7"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6</w:t>
            </w:r>
          </w:p>
        </w:tc>
        <w:tc>
          <w:tcPr>
            <w:tcW w:w="642"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6-1</w:t>
            </w:r>
          </w:p>
        </w:tc>
        <w:tc>
          <w:tcPr>
            <w:tcW w:w="222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儿童安全用药基因检测</w:t>
            </w:r>
          </w:p>
        </w:tc>
        <w:tc>
          <w:tcPr>
            <w:tcW w:w="749"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1项</w:t>
            </w:r>
          </w:p>
        </w:tc>
        <w:tc>
          <w:tcPr>
            <w:tcW w:w="861" w:type="pct"/>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sz w:val="24"/>
              </w:rPr>
              <w:t>否</w:t>
            </w:r>
          </w:p>
        </w:tc>
      </w:tr>
    </w:tbl>
    <w:p>
      <w:pPr>
        <w:pStyle w:val="16"/>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采购项目（标的）交付的时间（服务期限）：自签订合同之日起一年。</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2、采购项目（标的）交付的地点（服务地点）：首都儿科研究所指定地点。</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spacing w:before="156" w:beforeLines="50" w:line="360" w:lineRule="auto"/>
        <w:ind w:firstLine="480" w:firstLineChars="200"/>
        <w:rPr>
          <w:rFonts w:hint="default" w:ascii="仿宋" w:hAnsi="仿宋" w:eastAsia="仿宋"/>
          <w:sz w:val="24"/>
          <w:szCs w:val="24"/>
        </w:rPr>
      </w:pPr>
      <w:r>
        <w:rPr>
          <w:rFonts w:ascii="仿宋" w:hAnsi="仿宋" w:eastAsia="仿宋"/>
          <w:bCs/>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服务期限：自签订合同之日起一年。</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7"/>
        <w:spacing w:before="156" w:beforeLines="50" w:line="360" w:lineRule="auto"/>
        <w:ind w:firstLine="480" w:firstLineChars="200"/>
        <w:rPr>
          <w:rStyle w:val="15"/>
          <w:rFonts w:hint="default" w:ascii="Calibri" w:hAnsi="Calibri"/>
        </w:rPr>
      </w:pPr>
      <w:r>
        <w:rPr>
          <w:rFonts w:ascii="仿宋" w:hAnsi="仿宋" w:eastAsia="仿宋"/>
          <w:sz w:val="24"/>
        </w:rPr>
        <w:t>基于技术目标和技术内容中所规定的研究内容，投标人提供的数据量、数据质量、在约定的检测周期内数据分析结果全部达到合同规定标准，并得到采购人确认。投标人交付全部成果和原始数据且经采购人验收合格，为交付完成。</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品目1-1全外显子测序</w:t>
      </w:r>
    </w:p>
    <w:p>
      <w:pPr>
        <w:tabs>
          <w:tab w:val="left" w:pos="900"/>
        </w:tabs>
        <w:spacing w:line="360" w:lineRule="auto"/>
        <w:contextualSpacing/>
        <w:rPr>
          <w:rFonts w:ascii="仿宋" w:hAnsi="仿宋" w:eastAsia="仿宋"/>
          <w:b/>
          <w:sz w:val="24"/>
        </w:rPr>
      </w:pPr>
      <w:r>
        <w:rPr>
          <w:rFonts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tabs>
          <w:tab w:val="left" w:pos="900"/>
        </w:tabs>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tabs>
          <w:tab w:val="left" w:pos="900"/>
        </w:tabs>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1400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2、样本信息采集和运输要求：在全国范围内具有冷链运输体系，提供温度实时监控数据。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3.1、能处理的样本类型：具备外周血、组织、口腔式子等特殊样本的实验能力，并进行质控。如DNA样本100ng&lt;总量&lt;1ug，则进行风险建库。若建库连续2次失败，需提供完整应急预案和文件。对于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3.2、捕获平台或要求：考虑该平台产生的数据将为科研挖掘而使用，捕获探针必须覆盖人类20000个基因的外显子组和已知致病非编码区域和</w:t>
      </w:r>
      <w:r>
        <w:rPr>
          <w:rFonts w:ascii="仿宋_GB2312" w:hAnsi="仿宋_GB2312" w:eastAsia="仿宋_GB2312" w:cs="仿宋_GB2312"/>
          <w:color w:val="000000" w:themeColor="text1"/>
          <w:kern w:val="0"/>
          <w:sz w:val="24"/>
          <w:szCs w:val="24"/>
          <w14:textFill>
            <w14:solidFill>
              <w14:schemeClr w14:val="tx1"/>
            </w14:solidFill>
          </w14:textFill>
        </w:rPr>
        <w:t>线粒体环基因</w:t>
      </w:r>
      <w:r>
        <w:rPr>
          <w:rFonts w:hint="eastAsia" w:ascii="仿宋_GB2312" w:hAnsi="仿宋_GB2312" w:eastAsia="仿宋_GB2312" w:cs="仿宋_GB2312"/>
          <w:color w:val="000000" w:themeColor="text1"/>
          <w:kern w:val="0"/>
          <w:sz w:val="24"/>
          <w:szCs w:val="24"/>
          <w14:textFill>
            <w14:solidFill>
              <w14:schemeClr w14:val="tx1"/>
            </w14:solidFill>
          </w14:textFill>
        </w:rPr>
        <w:t>（建议采用Agilent v6或</w:t>
      </w:r>
      <w:r>
        <w:rPr>
          <w:rFonts w:ascii="仿宋_GB2312" w:hAnsi="仿宋_GB2312" w:eastAsia="仿宋_GB2312" w:cs="仿宋_GB2312"/>
          <w:color w:val="000000" w:themeColor="text1"/>
          <w:kern w:val="0"/>
          <w:sz w:val="24"/>
          <w:szCs w:val="24"/>
          <w14:textFill>
            <w14:solidFill>
              <w14:schemeClr w14:val="tx1"/>
            </w14:solidFill>
          </w14:textFill>
        </w:rPr>
        <w:t>优化后IDT全外</w:t>
      </w:r>
      <w:r>
        <w:rPr>
          <w:rFonts w:hint="eastAsia" w:ascii="仿宋_GB2312" w:hAnsi="仿宋_GB2312" w:eastAsia="仿宋_GB2312" w:cs="仿宋_GB2312"/>
          <w:color w:val="000000" w:themeColor="text1"/>
          <w:kern w:val="0"/>
          <w:sz w:val="24"/>
          <w:szCs w:val="24"/>
          <w14:textFill>
            <w14:solidFill>
              <w14:schemeClr w14:val="tx1"/>
            </w14:solidFill>
          </w14:textFill>
        </w:rPr>
        <w:t>显子</w:t>
      </w:r>
      <w:r>
        <w:rPr>
          <w:rFonts w:ascii="仿宋_GB2312" w:hAnsi="仿宋_GB2312" w:eastAsia="仿宋_GB2312" w:cs="仿宋_GB2312"/>
          <w:color w:val="000000" w:themeColor="text1"/>
          <w:kern w:val="0"/>
          <w:sz w:val="24"/>
          <w:szCs w:val="24"/>
          <w14:textFill>
            <w14:solidFill>
              <w14:schemeClr w14:val="tx1"/>
            </w14:solidFill>
          </w14:textFill>
        </w:rPr>
        <w:t>捕获探针</w:t>
      </w:r>
      <w:r>
        <w:rPr>
          <w:rFonts w:hint="eastAsia" w:ascii="仿宋_GB2312" w:hAnsi="仿宋_GB2312" w:eastAsia="仿宋_GB2312" w:cs="仿宋_GB2312"/>
          <w:color w:val="000000" w:themeColor="text1"/>
          <w:kern w:val="0"/>
          <w:sz w:val="24"/>
          <w:szCs w:val="24"/>
          <w14:textFill>
            <w14:solidFill>
              <w14:schemeClr w14:val="tx1"/>
            </w14:solidFill>
          </w14:textFill>
        </w:rPr>
        <w:t>），对于国内自主研发的全外显子捕获探针，在有文章发表证据，或CFDA认可基础上优先考虑。并且需要提供专利证明以及前期实验数据证明其在临床诊断、今后大数据科研挖掘上具有等效性。</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全外显子测序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不少于8-10G。若单个样本数据量达不到10G需要补测。细化要求为Q20&gt;95%，Q30&gt;85%；碱基类型分布均匀，无GC分离；靶区域平均100x以上，且均一性很好，目标区域20X以上覆盖度&gt;97%。测序产生的数据质量信息应及时在线系统内进行标签。</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6、全外测序数据分析平台要求：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能显示其实验流程条以及目前所处状态，包括并不限于：收样、DNA提取、DNA质检、文库捕获、捕获质检、文库质检、上机测序、数据下机、数据分析、选点、选点审核、家系验证、变异位点致病性解读、变异位点致病性解读审核、报告生成。</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6.4、每个变异需要显示人群频率（内部数据库、公开gnomAD数据库，商业HGMD数据库）和突变位点频率（REF/VAR），多个生物学评估证据。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6.5、招标方能自定义进行基因变异筛查，比如特定基因，特定表型，特定变异（错义或移码，人群不同频率，突变位点频率等）。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6.7、分级审核制度：包含但不限于：表型HPO输入-输入审核、选点-选点审核、报告解读-报告审核等类目；有交流对话框，方便不同分析人员交流分析结果和依据。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6.10、表型采集输入后能进行自动化HPO表型转换。</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外显子测序中基因组CNV的分析：基于全外测序覆盖度能分析大片段致病性的CNV，不得遗漏常见再发性致病性CNV（可查看相关文献），也不得遗漏常见单外显子CNV(比如ERCC8基因外显子4，后期会有列表)。针对CNV，可查看log 2 ratio数据、染色体CNV图片（自动生成后放在报告内）、包含基因、内部数据库该CNV的人群频率。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9、全外显子测序中在线分析系统的其他重要功能：开放自我分析功能，比如招标方自传VCF或FASTQ数据进行分析；可同时分析家系内多个成员的全外数据（必须平行分析并显示个或3个以上标本）。</w:t>
      </w:r>
    </w:p>
    <w:p>
      <w:pPr>
        <w:tabs>
          <w:tab w:val="left" w:pos="900"/>
        </w:tabs>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bookmarkStart w:id="6" w:name="OLE_LINK7"/>
      <w:bookmarkStart w:id="7" w:name="OLE_LINK8"/>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bookmarkEnd w:id="6"/>
      <w:bookmarkEnd w:id="7"/>
    </w:p>
    <w:p>
      <w:pPr>
        <w:widowControl/>
        <w:spacing w:line="360" w:lineRule="auto"/>
        <w:rPr>
          <w:rFonts w:ascii="仿宋" w:hAnsi="仿宋" w:eastAsia="仿宋"/>
          <w:b/>
          <w:sz w:val="24"/>
        </w:rPr>
      </w:pPr>
      <w:r>
        <w:rPr>
          <w:rFonts w:ascii="仿宋" w:hAnsi="仿宋" w:eastAsia="仿宋"/>
          <w:b/>
          <w:sz w:val="24"/>
        </w:rPr>
        <w:t>三、质量要求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（一）项目的对接团队要求：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1、项目对接负责人至少相关专业（遗传，医药学，生物学或生信背景）硕士及以上学历。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同时配合实验室做好双方的衔接工作，按照季度返回检测样本和原始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4、检测操作技术员要求：检验医学或生物学专业毕业，完成PCR培训，开展NGS湿实验至少2年以上，并获得PCR证书。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pStyle w:val="17"/>
        <w:spacing w:line="360" w:lineRule="auto"/>
        <w:ind w:firstLine="48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投标人需要有样本/数据在线管理和数据分析系统（提供使用流程步骤真实截图），具体要求如下：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tabs>
          <w:tab w:val="left" w:pos="900"/>
        </w:tabs>
        <w:spacing w:line="360" w:lineRule="auto"/>
        <w:contextualSpacing/>
        <w:rPr>
          <w:rFonts w:ascii="仿宋" w:hAnsi="仿宋" w:eastAsia="仿宋"/>
          <w:sz w:val="24"/>
        </w:rPr>
      </w:pPr>
      <w:r>
        <w:rPr>
          <w:rFonts w:hint="eastAsia" w:ascii="仿宋_GB2312" w:hAnsi="仿宋_GB2312" w:eastAsia="仿宋_GB2312" w:cs="仿宋_GB2312"/>
          <w:color w:val="000000" w:themeColor="text1"/>
          <w:kern w:val="0"/>
          <w:sz w:val="24"/>
          <w14:textFill>
            <w14:solidFill>
              <w14:schemeClr w14:val="tx1"/>
            </w14:solidFill>
          </w14:textFill>
        </w:rPr>
        <w:t>2、本地化或远程的数据分析平台：针对每一个样本，显示出检测质控，检测进度条，之后按照儿研所定制要求，自动化生成具有儿研所logo的报告模板。</w:t>
      </w:r>
    </w:p>
    <w:p>
      <w:pPr>
        <w:widowControl/>
        <w:jc w:val="left"/>
        <w:rPr>
          <w:rFonts w:ascii="仿宋" w:hAnsi="仿宋" w:eastAsia="仿宋"/>
          <w:b/>
          <w:sz w:val="24"/>
        </w:rPr>
      </w:pPr>
      <w:r>
        <w:rPr>
          <w:rFonts w:ascii="仿宋" w:hAnsi="仿宋" w:eastAsia="仿宋"/>
          <w:b/>
          <w:sz w:val="24"/>
        </w:rPr>
        <w:br w:type="page"/>
      </w:r>
    </w:p>
    <w:p>
      <w:pPr>
        <w:tabs>
          <w:tab w:val="left" w:pos="900"/>
        </w:tabs>
        <w:spacing w:line="360" w:lineRule="auto"/>
        <w:contextualSpacing/>
        <w:jc w:val="center"/>
        <w:rPr>
          <w:rFonts w:ascii="仿宋" w:hAnsi="仿宋" w:eastAsia="仿宋"/>
          <w:b/>
          <w:sz w:val="24"/>
        </w:rPr>
      </w:pP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品目1-2</w:t>
      </w:r>
      <w:r>
        <w:rPr>
          <w:rFonts w:hint="eastAsia"/>
        </w:rPr>
        <w:t xml:space="preserve"> </w:t>
      </w:r>
      <w:r>
        <w:rPr>
          <w:rFonts w:hint="eastAsia" w:ascii="仿宋" w:hAnsi="仿宋" w:eastAsia="仿宋"/>
          <w:b/>
          <w:sz w:val="24"/>
        </w:rPr>
        <w:t>Sanger测序</w:t>
      </w:r>
    </w:p>
    <w:p>
      <w:pPr>
        <w:tabs>
          <w:tab w:val="left" w:pos="900"/>
        </w:tabs>
        <w:spacing w:line="360" w:lineRule="auto"/>
        <w:contextualSpacing/>
        <w:rPr>
          <w:rFonts w:ascii="仿宋" w:hAnsi="仿宋" w:eastAsia="仿宋"/>
          <w:b/>
          <w:sz w:val="24"/>
        </w:rPr>
      </w:pPr>
      <w:r>
        <w:rPr>
          <w:rFonts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1、样本数：1</w:t>
      </w:r>
      <w:r>
        <w:rPr>
          <w:rFonts w:ascii="仿宋_GB2312" w:hAnsi="仿宋_GB2312" w:eastAsia="仿宋_GB2312" w:cs="仿宋_GB2312"/>
          <w:color w:val="000000" w:themeColor="text1"/>
          <w:kern w:val="0"/>
          <w:sz w:val="24"/>
          <w14:textFill>
            <w14:solidFill>
              <w14:schemeClr w14:val="tx1"/>
            </w14:solidFill>
          </w14:textFill>
        </w:rPr>
        <w:t>6000</w:t>
      </w:r>
      <w:r>
        <w:rPr>
          <w:rFonts w:hint="eastAsia" w:ascii="仿宋_GB2312" w:hAnsi="仿宋_GB2312" w:eastAsia="仿宋_GB2312" w:cs="仿宋_GB2312"/>
          <w:color w:val="000000" w:themeColor="text1"/>
          <w:kern w:val="0"/>
          <w:sz w:val="24"/>
          <w14:textFill>
            <w14:solidFill>
              <w14:schemeClr w14:val="tx1"/>
            </w14:solidFill>
          </w14:textFill>
        </w:rPr>
        <w:t>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2、可针对PCR产物、MLPA产物、质粒、菌液等样品。</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3、测序方法采用sanger测序法，并于24-48小时内提供测序结果；若测序失败，需于在线系统或邮件形式阐明失败原因、简述应对策略。</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4、有效读长不小于700bp。</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5、碱基质量：QV20；测序结果的quality值≥30，＜30需重新测序。</w:t>
      </w:r>
    </w:p>
    <w:p>
      <w:pPr>
        <w:widowControl/>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三、质量要求</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1、团队全体要求配置：收样人员、检测操作技术员、售后服务人员。</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2、提供的团队人员应具有充足的项目经验和专业技术人员，有能力保证本项目的顺利开展，项目组织机构完整、人员配备合理，职责分工明确，对项目实际需要的契合度高。</w:t>
      </w:r>
    </w:p>
    <w:p>
      <w:pPr>
        <w:widowControl/>
        <w:spacing w:line="360" w:lineRule="auto"/>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品目2-1全基因组CNV检测</w:t>
      </w:r>
    </w:p>
    <w:p>
      <w:pPr>
        <w:widowControl/>
        <w:spacing w:line="360" w:lineRule="auto"/>
        <w:contextualSpacing/>
        <w:rPr>
          <w:rFonts w:ascii="仿宋" w:hAnsi="仿宋" w:eastAsia="仿宋"/>
          <w:b/>
          <w:sz w:val="24"/>
        </w:rPr>
      </w:pPr>
      <w:r>
        <w:rPr>
          <w:rFonts w:hint="eastAsia" w:ascii="仿宋" w:hAnsi="仿宋" w:eastAsia="仿宋"/>
          <w:b/>
          <w:sz w:val="24"/>
        </w:rPr>
        <w:t>一、商务要求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 MLPA，生物学父母鉴定），不限制每个样本的验证数目和类型。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750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2、样本信息采集和运输要求：在全国范围内具有冷链运输体系，提供温度实时监控数据。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3、所用试剂和方法已经获得医疗器械受理通知或医疗器械注册证，或已有大规模临床研究证实可作为CNV的一线诊断方法，结果已在SCI期刊上发表并提供文献列表及索引号等。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4、建库全程无PCR扩增过程,投标人应提供所用方法学专家认可文件及试剂盒的说明书实验步骤说明。</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样本处理：具备外周血和组织样本的实验能力，并进行质控。若连续2次实验失败，需提供完整应急预案和文件。针对部分罕见样本，建库样本起始量低，不超过400ng样本DNA即可进行准确、稳定的检测，需提供第三方文献等证明材料。</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6、测序数据质量Q30≥93%，提供权威文献证明。</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7、可一次分析23对染色体的数目和结构异常，发现全部的染色体非整倍体及大于100Kb的染色体及拷贝数（CNV）变异。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8、可检测低至10%的非整倍体嵌合体，该检测性应进行了方法学论证，并提供权威文献证明。</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9、临床已解读的报告总数不少于20万例。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10、具备中国人CNV大数据库（收录正常人＞90万，患者＞4万）作为注释解读的支撑。</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11、发表CNV相关的科研文章不少于10篇，并提供文献列表及索引号等。</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12、可处理样本类型：外周血、组织、口腔拭子、干血片。</w:t>
      </w:r>
    </w:p>
    <w:p>
      <w:pPr>
        <w:widowControl/>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三、质量要求</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（一）项目的对接团队要求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1、项目对接负责人至少相关专业（遗传，医药学，生物学或生信背景）硕士及以上学历。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4、检测操作技术员要求：检验医学或生物学专业，完成PCR培训，开展NGS湿实验至少2年以上，并获得PCR证书。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pStyle w:val="17"/>
        <w:spacing w:line="360" w:lineRule="auto"/>
        <w:ind w:firstLine="48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投标人需要有样本/数据在线管理和数据分析系统（提供使用流程步骤真实截图），具体要求如下：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2、本地化或远程的数据分析平台：针对每一个样本，显示出检测质控，检测进度条，之后按照儿研所定制要求，自动化生成具有儿研所logo的报告模板。</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3、生成CNV图片log2 ratio每一个样本自动显示大于100kb的CNV且包括基因数目/长度、包含的OMIM基因，计量敏感基因等。</w:t>
      </w:r>
    </w:p>
    <w:p>
      <w:pPr>
        <w:widowControl/>
        <w:spacing w:line="360" w:lineRule="auto"/>
        <w:contextualSpacing/>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品目3-1朗格罕组织细胞增多症热点基因检测</w:t>
      </w:r>
    </w:p>
    <w:p>
      <w:pPr>
        <w:widowControl/>
        <w:spacing w:line="360" w:lineRule="auto"/>
        <w:rPr>
          <w:rFonts w:ascii="仿宋" w:hAnsi="仿宋" w:eastAsia="仿宋"/>
          <w:b/>
          <w:sz w:val="24"/>
        </w:rPr>
      </w:pPr>
      <w:r>
        <w:rPr>
          <w:rFonts w:ascii="仿宋" w:hAnsi="仿宋" w:eastAsia="仿宋"/>
          <w:b/>
          <w:sz w:val="24"/>
        </w:rPr>
        <w:t>一、商务要求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widowControl/>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widowControl/>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150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2、检测方法及检测范围：微滴式数字PCR（droplet digital PCR, ddPCR）；覆盖BRAF V600E。</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3、处理样本类型：新鲜肿瘤组织、石蜡包埋组织/切片、福尔马林固定的肿瘤组织、肿瘤FFPE样本、10毫升外周血（Streck管）。</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4、检测线：要求最低检出限为1%，需提供证明材料。</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5、质量控制</w:t>
      </w:r>
      <w:r>
        <w:rPr>
          <w:rFonts w:hint="eastAsia" w:ascii="仿宋_GB2312" w:hAnsi="仿宋_GB2312" w:eastAsia="仿宋_GB2312" w:cs="仿宋_GB2312"/>
          <w:color w:val="000000" w:themeColor="text1"/>
          <w:kern w:val="0"/>
          <w:sz w:val="24"/>
          <w14:textFill>
            <w14:solidFill>
              <w14:schemeClr w14:val="tx1"/>
            </w14:solidFill>
          </w14:textFill>
        </w:rPr>
        <w:tab/>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5.1、每个样本生成微滴数量≥20000；</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5.2、观察结果中产生微滴的总数量≥8000；</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5.3、野生型拷贝数应≥800；</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5.4、设立阳性对照反应孔，能够显示正常的突变和突变比例；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5.5、设立阴性对照反应孔，≤1个阳性微滴；</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6、报告模板要求：可以生成各信号微滴频率分布图。</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widowControl/>
        <w:spacing w:line="360" w:lineRule="auto"/>
        <w:contextualSpacing/>
        <w:rPr>
          <w:rFonts w:ascii="仿宋" w:hAnsi="仿宋" w:eastAsia="仿宋"/>
          <w:sz w:val="24"/>
        </w:rPr>
      </w:pPr>
      <w:r>
        <w:rPr>
          <w:rFonts w:hint="eastAsia" w:ascii="仿宋" w:hAnsi="仿宋" w:eastAsia="仿宋"/>
          <w:sz w:val="24"/>
        </w:rPr>
        <w:t>1、团队全体要求配置：收样人员、检测操作技术员、售后服务人员。</w:t>
      </w:r>
    </w:p>
    <w:p>
      <w:pPr>
        <w:widowControl/>
        <w:spacing w:line="360" w:lineRule="auto"/>
        <w:contextualSpacing/>
        <w:rPr>
          <w:rFonts w:ascii="仿宋" w:hAnsi="仿宋" w:eastAsia="仿宋"/>
          <w:sz w:val="24"/>
        </w:rPr>
      </w:pPr>
      <w:r>
        <w:rPr>
          <w:rFonts w:hint="eastAsia" w:ascii="仿宋" w:hAnsi="仿宋" w:eastAsia="仿宋"/>
          <w:sz w:val="24"/>
        </w:rPr>
        <w:t>2、提供的团队人员应具有充足的项目经验和专业技术人员，有能力保证本项目的顺利开展，项目组织机构完整、人员配备合理，职责分工明确，对项目实际需要的契合度高。</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品目4-1儿童疾病panel测序-1</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1、样本数：200例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3.2、捕获平台或要求：针对地中海贫血单基因检测（</w:t>
      </w:r>
      <w:r>
        <w:rPr>
          <w:rFonts w:ascii="仿宋_GB2312" w:hAnsi="仿宋_GB2312" w:eastAsia="仿宋_GB2312" w:cs="仿宋_GB2312"/>
          <w:color w:val="000000" w:themeColor="text1"/>
          <w:kern w:val="0"/>
          <w:sz w:val="24"/>
          <w:szCs w:val="24"/>
          <w14:textFill>
            <w14:solidFill>
              <w14:schemeClr w14:val="tx1"/>
            </w14:solidFill>
          </w14:textFill>
        </w:rPr>
        <w:t>HBB、HBA基因）特异性检测探针；</w:t>
      </w:r>
      <w:r>
        <w:rPr>
          <w:rFonts w:hint="eastAsia" w:ascii="仿宋_GB2312" w:hAnsi="仿宋_GB2312" w:eastAsia="仿宋_GB2312" w:cs="仿宋_GB2312"/>
          <w:color w:val="000000" w:themeColor="text1"/>
          <w:kern w:val="0"/>
          <w:sz w:val="24"/>
          <w:szCs w:val="24"/>
          <w14:textFill>
            <w14:solidFill>
              <w14:schemeClr w14:val="tx1"/>
            </w14:solidFill>
          </w14:textFill>
        </w:rPr>
        <w:t>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w:t>
      </w:r>
      <w:r>
        <w:rPr>
          <w:rFonts w:ascii="仿宋_GB2312" w:hAnsi="仿宋_GB2312" w:eastAsia="仿宋_GB2312" w:cs="仿宋_GB2312"/>
          <w:color w:val="000000" w:themeColor="text1"/>
          <w:kern w:val="0"/>
          <w:sz w:val="24"/>
          <w:szCs w:val="24"/>
          <w14:textFill>
            <w14:solidFill>
              <w14:schemeClr w14:val="tx1"/>
            </w14:solidFill>
          </w14:textFill>
        </w:rPr>
        <w:t>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contextualSpacing/>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jc w:val="left"/>
        <w:rPr>
          <w:rFonts w:ascii="仿宋" w:hAnsi="仿宋" w:eastAsia="仿宋"/>
          <w:b/>
          <w:sz w:val="24"/>
        </w:rPr>
      </w:pPr>
      <w:r>
        <w:rPr>
          <w:rFonts w:ascii="仿宋" w:hAnsi="仿宋" w:eastAsia="仿宋"/>
          <w:b/>
          <w:sz w:val="24"/>
        </w:rPr>
        <w:br w:type="page"/>
      </w:r>
    </w:p>
    <w:p>
      <w:pPr>
        <w:widowControl/>
        <w:spacing w:line="360" w:lineRule="auto"/>
        <w:rPr>
          <w:rFonts w:ascii="仿宋" w:hAnsi="仿宋" w:eastAsia="仿宋"/>
          <w:b/>
          <w:sz w:val="24"/>
        </w:rPr>
      </w:pP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品目4-2儿童疾病panel测序-2</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45</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3.2、捕获平台或要求：针对甲型血友病单基因（</w:t>
      </w:r>
      <w:r>
        <w:rPr>
          <w:rFonts w:ascii="仿宋_GB2312" w:hAnsi="仿宋_GB2312" w:eastAsia="仿宋_GB2312" w:cs="仿宋_GB2312"/>
          <w:color w:val="000000" w:themeColor="text1"/>
          <w:kern w:val="0"/>
          <w:sz w:val="24"/>
          <w:szCs w:val="24"/>
          <w14:textFill>
            <w14:solidFill>
              <w14:schemeClr w14:val="tx1"/>
            </w14:solidFill>
          </w14:textFill>
        </w:rPr>
        <w:t>F8基因）倒位异位、蚕豆病单基因检测（G6PD）特异性检测探针；</w:t>
      </w:r>
      <w:r>
        <w:rPr>
          <w:rFonts w:hint="eastAsia" w:ascii="仿宋_GB2312" w:hAnsi="仿宋_GB2312" w:eastAsia="仿宋_GB2312" w:cs="仿宋_GB2312"/>
          <w:color w:val="000000" w:themeColor="text1"/>
          <w:kern w:val="0"/>
          <w:sz w:val="24"/>
          <w:szCs w:val="24"/>
          <w14:textFill>
            <w14:solidFill>
              <w14:schemeClr w14:val="tx1"/>
            </w14:solidFill>
          </w14:textFill>
        </w:rPr>
        <w:t>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 w:hAnsi="仿宋" w:eastAsia="仿宋"/>
          <w:b/>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品目4-3儿童疾病panel测序-3</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30</w:t>
      </w:r>
      <w:r>
        <w:rPr>
          <w:rFonts w:hint="eastAsia" w:ascii="仿宋_GB2312" w:hAnsi="仿宋_GB2312" w:eastAsia="仿宋_GB2312" w:cs="仿宋_GB2312"/>
          <w:color w:val="000000" w:themeColor="text1"/>
          <w:kern w:val="0"/>
          <w:sz w:val="24"/>
          <w14:textFill>
            <w14:solidFill>
              <w14:schemeClr w14:val="tx1"/>
            </w14:solidFill>
          </w14:textFill>
        </w:rPr>
        <w:t>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14:textFill>
            <w14:solidFill>
              <w14:schemeClr w14:val="tx1"/>
            </w14:solidFill>
          </w14:textFill>
        </w:rPr>
        <w:t>外周血</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提取</w:t>
      </w:r>
      <w:r>
        <w:rPr>
          <w:rFonts w:hint="eastAsia" w:ascii="仿宋_GB2312" w:hAnsi="仿宋_GB2312" w:eastAsia="仿宋_GB2312" w:cs="仿宋_GB2312"/>
          <w:color w:val="000000" w:themeColor="text1"/>
          <w:kern w:val="0"/>
          <w:sz w:val="24"/>
          <w14:textFill>
            <w14:solidFill>
              <w14:schemeClr w14:val="tx1"/>
            </w14:solidFill>
          </w14:textFill>
        </w:rPr>
        <w:t>基因组DNA质量</w:t>
      </w:r>
      <w:r>
        <w:rPr>
          <w:rFonts w:ascii="仿宋_GB2312" w:hAnsi="仿宋_GB2312" w:eastAsia="仿宋_GB2312" w:cs="仿宋_GB2312"/>
          <w:color w:val="000000" w:themeColor="text1"/>
          <w:kern w:val="0"/>
          <w:sz w:val="24"/>
          <w14:textFill>
            <w14:solidFill>
              <w14:schemeClr w14:val="tx1"/>
            </w14:solidFill>
          </w14:textFill>
        </w:rPr>
        <w:t>要求</w:t>
      </w:r>
      <w:r>
        <w:rPr>
          <w:rFonts w:hint="eastAsia" w:ascii="仿宋_GB2312" w:hAnsi="仿宋_GB2312" w:eastAsia="仿宋_GB2312" w:cs="仿宋_GB2312"/>
          <w:color w:val="000000" w:themeColor="text1"/>
          <w:kern w:val="0"/>
          <w:sz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3.2、捕获平台或要求：针对肾上腺皮质增生症CYP21A2基因特异性检测探针；捕获探针覆盖相应疾病全部已知相关基因的外显子组和已知致病非编码区域（内含子区、启动子、调控区域）。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w:t>
      </w:r>
      <w:r>
        <w:rPr>
          <w:rFonts w:ascii="仿宋_GB2312" w:hAnsi="仿宋_GB2312" w:eastAsia="仿宋_GB2312" w:cs="仿宋_GB2312"/>
          <w:color w:val="000000" w:themeColor="text1"/>
          <w:kern w:val="0"/>
          <w:sz w:val="24"/>
          <w:szCs w:val="24"/>
          <w14:textFill>
            <w14:solidFill>
              <w14:schemeClr w14:val="tx1"/>
            </w14:solidFill>
          </w14:textFill>
        </w:rPr>
        <w:softHyphen/>
      </w:r>
      <w:r>
        <w:rPr>
          <w:rFonts w:hint="eastAsia" w:ascii="仿宋_GB2312" w:hAnsi="仿宋_GB2312" w:eastAsia="仿宋_GB2312" w:cs="仿宋_GB2312"/>
          <w:color w:val="000000" w:themeColor="text1"/>
          <w:kern w:val="0"/>
          <w:sz w:val="24"/>
          <w:szCs w:val="24"/>
          <w14:textFill>
            <w14:solidFill>
              <w14:schemeClr w14:val="tx1"/>
            </w14:solidFill>
          </w14:textFill>
        </w:rPr>
        <w:t>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品目4-4儿童疾病panel测序-4</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400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结节性硬化症基因、性发育障碍基因、神经纤维瘤基因、高低血钾基因、糖尿病基因、矮小症基因、肾小球疾病基因、遗传性心肌病基因、血脂异常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jc w:val="left"/>
        <w:rPr>
          <w:rFonts w:ascii="仿宋" w:hAnsi="仿宋" w:eastAsia="仿宋"/>
          <w:b/>
          <w:sz w:val="24"/>
        </w:rPr>
      </w:pP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品目4-5儿童疾病panel测序-5</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1、样本数：25例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3.2、捕获平台或要求：针对先天性肌无力综合征基因、离子通道病基因、癫痫基因特异性检测探针；捕获探针覆盖相应疾病全部已知相关基因的外显子组和已知致病非编码区域（内含子区、启动子、调控区域）。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品目4-6儿童疾病panel测序-6</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1、样本数：210例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胆汁淤积症基因、白内障基因、青光眼基因、视网膜母细胞瘤基因、嗜血细胞综合征基因、血小板减少症基因、自身炎症性疾病基因、耳聋基因、遗传性共济失调基因、脑白质病基因、周围神经病基因、骨骼系统疾病基因、肾脏系统疾病基因、心血管疾病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品目4-7儿童疾病panel测序-7</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450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代谢疾病整体解决方案、代谢性肝病基因、免疫系统疾病基因、皮肤病基因、眼科病基因、血液系统疾病基因、肾上腺皮质增生症整体解决方案、内分泌系统疾病基因、神经肌肉病基因、矮小症整体解决方案、呼吸系统疾病检测方案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品目4-8儿童疾病panel测序-8</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100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3.2、捕获平台或要求：针对线粒体疾病整体方案特异性检测探针；捕获探针覆盖相应疾病全部已知相关基因的外显子组和已知致病非编码区域（内含子区、启动子、调控区域）。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contextualSpacing/>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contextualSpacing/>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pStyle w:val="17"/>
        <w:spacing w:line="360" w:lineRule="auto"/>
        <w:ind w:firstLine="0" w:firstLineChars="0"/>
        <w:contextualSpacing/>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pStyle w:val="17"/>
        <w:spacing w:line="360" w:lineRule="auto"/>
        <w:ind w:firstLine="0" w:firstLineChars="0"/>
        <w:contextualSpacing/>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p>
    <w:p>
      <w:pPr>
        <w:widowControl/>
        <w:spacing w:line="360" w:lineRule="auto"/>
        <w:contextualSpacing/>
        <w:jc w:val="left"/>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5</w:t>
      </w:r>
      <w:r>
        <w:rPr>
          <w:rFonts w:ascii="仿宋" w:hAnsi="仿宋" w:eastAsia="仿宋"/>
          <w:b/>
          <w:sz w:val="24"/>
        </w:rPr>
        <w:t>包</w:t>
      </w:r>
      <w:r>
        <w:rPr>
          <w:rFonts w:hint="eastAsia" w:ascii="仿宋" w:hAnsi="仿宋" w:eastAsia="仿宋"/>
          <w:b/>
          <w:sz w:val="24"/>
        </w:rPr>
        <w:t xml:space="preserve"> 品目5-1人类白细胞抗原高分辨配型（HLA）</w:t>
      </w:r>
    </w:p>
    <w:p>
      <w:pPr>
        <w:widowControl/>
        <w:spacing w:line="360" w:lineRule="auto"/>
        <w:contextualSpacing/>
        <w:jc w:val="left"/>
        <w:rPr>
          <w:rFonts w:ascii="仿宋" w:hAnsi="仿宋" w:eastAsia="仿宋"/>
          <w:sz w:val="24"/>
        </w:rPr>
      </w:pPr>
      <w:r>
        <w:rPr>
          <w:rFonts w:hint="eastAsia" w:ascii="仿宋" w:hAnsi="仿宋" w:eastAsia="仿宋"/>
          <w:b/>
          <w:sz w:val="24"/>
        </w:rPr>
        <w:t>一、技术参数：功能要求</w:t>
      </w:r>
      <w:r>
        <w:rPr>
          <w:rFonts w:hint="eastAsia" w:ascii="仿宋" w:hAnsi="仿宋" w:eastAsia="仿宋"/>
          <w:sz w:val="24"/>
        </w:rPr>
        <w:t>（包括性能、材料、结构、外观、安全，服务内容和标准等）</w:t>
      </w:r>
    </w:p>
    <w:p>
      <w:pPr>
        <w:widowControl/>
        <w:spacing w:line="360" w:lineRule="auto"/>
        <w:contextualSpacing/>
        <w:jc w:val="left"/>
        <w:rPr>
          <w:rFonts w:ascii="仿宋" w:hAnsi="仿宋" w:eastAsia="仿宋"/>
          <w:sz w:val="24"/>
        </w:rPr>
      </w:pPr>
      <w:r>
        <w:rPr>
          <w:rFonts w:hint="eastAsia" w:ascii="仿宋" w:hAnsi="仿宋" w:eastAsia="仿宋"/>
          <w:sz w:val="24"/>
        </w:rPr>
        <w:t>1、样本数：420例</w:t>
      </w:r>
      <w:r>
        <w:rPr>
          <w:rFonts w:hint="eastAsia" w:ascii="仿宋" w:hAnsi="仿宋" w:eastAsia="仿宋"/>
          <w:sz w:val="24"/>
        </w:rPr>
        <w:tab/>
      </w:r>
    </w:p>
    <w:p>
      <w:pPr>
        <w:widowControl/>
        <w:spacing w:line="360" w:lineRule="auto"/>
        <w:contextualSpacing/>
        <w:jc w:val="left"/>
        <w:rPr>
          <w:rFonts w:ascii="仿宋" w:hAnsi="仿宋" w:eastAsia="仿宋"/>
          <w:sz w:val="24"/>
        </w:rPr>
      </w:pPr>
      <w:r>
        <w:rPr>
          <w:rFonts w:hint="eastAsia" w:ascii="仿宋" w:hAnsi="仿宋" w:eastAsia="仿宋"/>
          <w:sz w:val="24"/>
        </w:rPr>
        <w:t>2、检测平台：实验室拥有针对本采购项目的检测设备，保证设备配置齐全，技术先进，需提供相关资质。</w:t>
      </w:r>
    </w:p>
    <w:p>
      <w:pPr>
        <w:widowControl/>
        <w:spacing w:line="360" w:lineRule="auto"/>
        <w:contextualSpacing/>
        <w:jc w:val="left"/>
        <w:rPr>
          <w:rFonts w:ascii="仿宋" w:hAnsi="仿宋" w:eastAsia="仿宋"/>
          <w:sz w:val="24"/>
        </w:rPr>
      </w:pPr>
      <w:r>
        <w:rPr>
          <w:rFonts w:hint="eastAsia" w:ascii="仿宋" w:hAnsi="仿宋" w:eastAsia="仿宋"/>
          <w:sz w:val="24"/>
        </w:rPr>
        <w:t>3、样本运输：具有冷链运输体系，可提供温度实时监测数据，能按照要求运送标本，保证生物安全。对于特殊、危急样本，要有及时收取、检测加急的能力；并确保标本无遗失、无差错。全面保证标本及时安全运送至实验室进行相关检测。</w:t>
      </w:r>
    </w:p>
    <w:p>
      <w:pPr>
        <w:widowControl/>
        <w:spacing w:line="360" w:lineRule="auto"/>
        <w:contextualSpacing/>
        <w:jc w:val="left"/>
        <w:rPr>
          <w:rFonts w:ascii="仿宋" w:hAnsi="仿宋" w:eastAsia="仿宋"/>
          <w:sz w:val="24"/>
        </w:rPr>
      </w:pPr>
      <w:r>
        <w:rPr>
          <w:rFonts w:hint="eastAsia" w:ascii="仿宋" w:hAnsi="仿宋" w:eastAsia="仿宋"/>
          <w:sz w:val="24"/>
        </w:rPr>
        <w:t>4、样本要求:按要求收取标本，核对样本数量，检测项目并进行登记后，才能取样进行检测。确保样本的采集、运输、检测、贮存等各环节有效的控制，并做好保密与安全工作。</w:t>
      </w:r>
    </w:p>
    <w:p>
      <w:pPr>
        <w:widowControl/>
        <w:spacing w:line="360" w:lineRule="auto"/>
        <w:contextualSpacing/>
        <w:jc w:val="left"/>
        <w:rPr>
          <w:rFonts w:ascii="仿宋" w:hAnsi="仿宋" w:eastAsia="仿宋"/>
          <w:sz w:val="24"/>
        </w:rPr>
      </w:pPr>
      <w:r>
        <w:rPr>
          <w:rFonts w:hint="eastAsia" w:ascii="仿宋" w:hAnsi="仿宋" w:eastAsia="仿宋"/>
          <w:sz w:val="24"/>
        </w:rPr>
        <w:t>5、样本类型:实验室具备处理不同标本类型的能力，标本类型包括：外周血或骨髓、口腔拭子、DNA样本等，需提供完整应急预案和文件。</w:t>
      </w:r>
    </w:p>
    <w:p>
      <w:pPr>
        <w:widowControl/>
        <w:spacing w:line="360" w:lineRule="auto"/>
        <w:contextualSpacing/>
        <w:jc w:val="left"/>
        <w:rPr>
          <w:rFonts w:ascii="仿宋" w:hAnsi="仿宋" w:eastAsia="仿宋"/>
          <w:sz w:val="24"/>
        </w:rPr>
      </w:pPr>
      <w:r>
        <w:rPr>
          <w:rFonts w:hint="eastAsia" w:ascii="仿宋" w:hAnsi="仿宋" w:eastAsia="仿宋"/>
          <w:sz w:val="24"/>
        </w:rPr>
        <w:t>6、实验室要求：</w:t>
      </w:r>
    </w:p>
    <w:p>
      <w:pPr>
        <w:widowControl/>
        <w:spacing w:line="360" w:lineRule="auto"/>
        <w:contextualSpacing/>
        <w:jc w:val="left"/>
        <w:rPr>
          <w:rFonts w:ascii="仿宋" w:hAnsi="仿宋" w:eastAsia="仿宋"/>
          <w:sz w:val="24"/>
        </w:rPr>
      </w:pPr>
      <w:r>
        <w:rPr>
          <w:rFonts w:hint="eastAsia" w:ascii="仿宋" w:hAnsi="仿宋" w:eastAsia="仿宋"/>
          <w:sz w:val="24"/>
        </w:rPr>
        <w:t>6.1实验室具有《临床基因扩增检验实验室验收合格证书》。</w:t>
      </w:r>
    </w:p>
    <w:p>
      <w:pPr>
        <w:widowControl/>
        <w:spacing w:line="360" w:lineRule="auto"/>
        <w:contextualSpacing/>
        <w:jc w:val="left"/>
        <w:rPr>
          <w:rFonts w:ascii="仿宋" w:hAnsi="仿宋" w:eastAsia="仿宋"/>
          <w:sz w:val="24"/>
        </w:rPr>
      </w:pPr>
      <w:r>
        <w:rPr>
          <w:rFonts w:hint="eastAsia" w:ascii="仿宋" w:hAnsi="仿宋" w:eastAsia="仿宋"/>
          <w:sz w:val="24"/>
        </w:rPr>
        <w:t>6.2实验室具有标准化的质量管理体系，通过ISO15189医学实验室认证。</w:t>
      </w:r>
    </w:p>
    <w:p>
      <w:pPr>
        <w:widowControl/>
        <w:spacing w:line="360" w:lineRule="auto"/>
        <w:contextualSpacing/>
        <w:jc w:val="left"/>
        <w:rPr>
          <w:rFonts w:ascii="仿宋" w:hAnsi="仿宋" w:eastAsia="仿宋"/>
          <w:sz w:val="24"/>
        </w:rPr>
      </w:pPr>
      <w:r>
        <w:rPr>
          <w:rFonts w:hint="eastAsia" w:ascii="仿宋" w:hAnsi="仿宋" w:eastAsia="仿宋"/>
          <w:sz w:val="24"/>
        </w:rPr>
        <w:t>6.3实验室具备完善的质量控制措施、质量手册。</w:t>
      </w:r>
    </w:p>
    <w:p>
      <w:pPr>
        <w:widowControl/>
        <w:spacing w:line="360" w:lineRule="auto"/>
        <w:contextualSpacing/>
        <w:jc w:val="left"/>
        <w:rPr>
          <w:rFonts w:ascii="仿宋" w:hAnsi="仿宋" w:eastAsia="仿宋"/>
          <w:sz w:val="24"/>
        </w:rPr>
      </w:pPr>
      <w:r>
        <w:rPr>
          <w:rFonts w:hint="eastAsia" w:ascii="仿宋" w:hAnsi="仿宋" w:eastAsia="仿宋"/>
          <w:sz w:val="24"/>
        </w:rPr>
        <w:t>6.4实验室检测项目通过中国卫生部或其他国外专业机构能力测评认可。</w:t>
      </w:r>
    </w:p>
    <w:p>
      <w:pPr>
        <w:widowControl/>
        <w:spacing w:line="360" w:lineRule="auto"/>
        <w:contextualSpacing/>
        <w:jc w:val="left"/>
        <w:rPr>
          <w:rFonts w:ascii="仿宋" w:hAnsi="仿宋" w:eastAsia="仿宋"/>
          <w:sz w:val="24"/>
        </w:rPr>
      </w:pPr>
      <w:r>
        <w:rPr>
          <w:rFonts w:hint="eastAsia" w:ascii="仿宋" w:hAnsi="仿宋" w:eastAsia="仿宋"/>
          <w:sz w:val="24"/>
        </w:rPr>
        <w:t>6.5实验室具有丰富的人类白细胞抗原高分辨配型（HLA）项目检测经验。</w:t>
      </w:r>
    </w:p>
    <w:p>
      <w:pPr>
        <w:widowControl/>
        <w:spacing w:line="360" w:lineRule="auto"/>
        <w:contextualSpacing/>
        <w:jc w:val="left"/>
        <w:rPr>
          <w:rFonts w:ascii="仿宋" w:hAnsi="仿宋" w:eastAsia="仿宋"/>
          <w:sz w:val="24"/>
        </w:rPr>
      </w:pPr>
      <w:r>
        <w:rPr>
          <w:rFonts w:hint="eastAsia" w:ascii="仿宋" w:hAnsi="仿宋" w:eastAsia="仿宋"/>
          <w:sz w:val="24"/>
        </w:rPr>
        <w:t>7、交付要求</w:t>
      </w:r>
    </w:p>
    <w:p>
      <w:pPr>
        <w:widowControl/>
        <w:spacing w:line="360" w:lineRule="auto"/>
        <w:contextualSpacing/>
        <w:jc w:val="left"/>
        <w:rPr>
          <w:rFonts w:ascii="仿宋" w:hAnsi="仿宋" w:eastAsia="仿宋"/>
          <w:sz w:val="24"/>
        </w:rPr>
      </w:pPr>
      <w:r>
        <w:rPr>
          <w:rFonts w:hint="eastAsia" w:ascii="仿宋" w:hAnsi="仿宋" w:eastAsia="仿宋"/>
          <w:sz w:val="24"/>
        </w:rPr>
        <w:t>7.1根据本次招标项目需5个工作日内完成检测，定期返还原始数据。</w:t>
      </w:r>
    </w:p>
    <w:p>
      <w:pPr>
        <w:widowControl/>
        <w:spacing w:line="360" w:lineRule="auto"/>
        <w:contextualSpacing/>
        <w:jc w:val="left"/>
        <w:rPr>
          <w:rFonts w:ascii="仿宋" w:hAnsi="仿宋" w:eastAsia="仿宋"/>
          <w:sz w:val="24"/>
        </w:rPr>
      </w:pPr>
      <w:r>
        <w:rPr>
          <w:rFonts w:hint="eastAsia" w:ascii="仿宋" w:hAnsi="仿宋" w:eastAsia="仿宋"/>
          <w:sz w:val="24"/>
        </w:rPr>
        <w:t>7.2采购标的的验收标准包括原始数据、报告、室内质控记录；</w:t>
      </w:r>
    </w:p>
    <w:p>
      <w:pPr>
        <w:widowControl/>
        <w:spacing w:line="360" w:lineRule="auto"/>
        <w:contextualSpacing/>
        <w:jc w:val="left"/>
        <w:rPr>
          <w:rFonts w:ascii="仿宋" w:hAnsi="仿宋" w:eastAsia="仿宋"/>
          <w:sz w:val="24"/>
        </w:rPr>
      </w:pPr>
      <w:r>
        <w:rPr>
          <w:rFonts w:hint="eastAsia" w:ascii="仿宋" w:hAnsi="仿宋" w:eastAsia="仿宋"/>
          <w:sz w:val="24"/>
        </w:rPr>
        <w:t>7.3可针对临床和院内实验室检测人员提供定期交流培训、特殊病例疑难技术支撑。</w:t>
      </w:r>
    </w:p>
    <w:p>
      <w:pPr>
        <w:widowControl/>
        <w:spacing w:line="360" w:lineRule="auto"/>
        <w:contextualSpacing/>
        <w:jc w:val="left"/>
        <w:rPr>
          <w:rFonts w:ascii="仿宋" w:hAnsi="仿宋" w:eastAsia="仿宋"/>
          <w:sz w:val="24"/>
        </w:rPr>
      </w:pPr>
      <w:r>
        <w:rPr>
          <w:rFonts w:hint="eastAsia" w:ascii="仿宋" w:hAnsi="仿宋" w:eastAsia="仿宋"/>
          <w:sz w:val="24"/>
        </w:rPr>
        <w:t>8、技术人员要求</w:t>
      </w:r>
    </w:p>
    <w:p>
      <w:pPr>
        <w:widowControl/>
        <w:spacing w:line="360" w:lineRule="auto"/>
        <w:contextualSpacing/>
        <w:jc w:val="left"/>
        <w:rPr>
          <w:rFonts w:ascii="仿宋" w:hAnsi="仿宋" w:eastAsia="仿宋"/>
          <w:sz w:val="24"/>
        </w:rPr>
      </w:pPr>
      <w:r>
        <w:rPr>
          <w:rFonts w:hint="eastAsia" w:ascii="仿宋" w:hAnsi="仿宋" w:eastAsia="仿宋"/>
          <w:sz w:val="24"/>
        </w:rPr>
        <w:t>8.1总体要求：实验室相关技术人员需具备医学检验或生物相关专业；</w:t>
      </w:r>
    </w:p>
    <w:p>
      <w:pPr>
        <w:widowControl/>
        <w:spacing w:line="360" w:lineRule="auto"/>
        <w:contextualSpacing/>
        <w:jc w:val="left"/>
        <w:rPr>
          <w:rFonts w:ascii="仿宋" w:hAnsi="仿宋" w:eastAsia="仿宋"/>
          <w:sz w:val="24"/>
        </w:rPr>
      </w:pPr>
      <w:r>
        <w:rPr>
          <w:rFonts w:hint="eastAsia" w:ascii="仿宋" w:hAnsi="仿宋" w:eastAsia="仿宋"/>
          <w:sz w:val="24"/>
        </w:rPr>
        <w:t>8.2技术人员配备：实验室主任、实验室检测人员须满足以下要求；</w:t>
      </w:r>
    </w:p>
    <w:p>
      <w:pPr>
        <w:widowControl/>
        <w:spacing w:line="360" w:lineRule="auto"/>
        <w:contextualSpacing/>
        <w:jc w:val="left"/>
        <w:rPr>
          <w:rFonts w:ascii="仿宋" w:hAnsi="仿宋" w:eastAsia="仿宋"/>
          <w:sz w:val="24"/>
        </w:rPr>
      </w:pPr>
      <w:r>
        <w:rPr>
          <w:rFonts w:hint="eastAsia" w:ascii="仿宋" w:hAnsi="仿宋" w:eastAsia="仿宋"/>
          <w:sz w:val="24"/>
        </w:rPr>
        <w:t>8.2.1实验室主任：必须为专职人员，不得为兼职或退休返聘人员；应获得相关专业的博士及以上学位，同时具备中级及以上医学检验职称；应具备5年以上的血液病相关专业研究经历；</w:t>
      </w:r>
    </w:p>
    <w:p>
      <w:pPr>
        <w:widowControl/>
        <w:spacing w:line="360" w:lineRule="auto"/>
        <w:contextualSpacing/>
        <w:jc w:val="left"/>
        <w:rPr>
          <w:rFonts w:ascii="仿宋" w:hAnsi="仿宋" w:eastAsia="仿宋"/>
          <w:sz w:val="24"/>
        </w:rPr>
      </w:pPr>
      <w:r>
        <w:rPr>
          <w:rFonts w:hint="eastAsia" w:ascii="仿宋" w:hAnsi="仿宋" w:eastAsia="仿宋"/>
          <w:sz w:val="24"/>
        </w:rPr>
        <w:t>8.2.2实验室检测人员：具备临床医学检验从业资格，严格按照实验室标准操作程序进行操作的技能。</w:t>
      </w:r>
    </w:p>
    <w:p>
      <w:pPr>
        <w:widowControl/>
        <w:spacing w:line="360" w:lineRule="auto"/>
        <w:contextualSpacing/>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5</w:t>
      </w:r>
      <w:r>
        <w:rPr>
          <w:rFonts w:ascii="仿宋" w:hAnsi="仿宋" w:eastAsia="仿宋"/>
          <w:b/>
          <w:sz w:val="24"/>
        </w:rPr>
        <w:t>包</w:t>
      </w:r>
      <w:r>
        <w:rPr>
          <w:rFonts w:hint="eastAsia" w:ascii="仿宋" w:hAnsi="仿宋" w:eastAsia="仿宋"/>
          <w:b/>
          <w:sz w:val="24"/>
        </w:rPr>
        <w:t xml:space="preserve"> 品目5-2群体反应性抗体筛查(PRA)</w:t>
      </w:r>
    </w:p>
    <w:p>
      <w:pPr>
        <w:widowControl/>
        <w:spacing w:line="360" w:lineRule="auto"/>
        <w:contextualSpacing/>
        <w:jc w:val="left"/>
        <w:rPr>
          <w:rFonts w:ascii="仿宋" w:hAnsi="仿宋" w:eastAsia="仿宋"/>
          <w:sz w:val="24"/>
        </w:rPr>
      </w:pPr>
      <w:r>
        <w:rPr>
          <w:rFonts w:hint="eastAsia" w:ascii="仿宋" w:hAnsi="仿宋" w:eastAsia="仿宋"/>
          <w:b/>
          <w:sz w:val="24"/>
        </w:rPr>
        <w:t>一</w:t>
      </w:r>
      <w:r>
        <w:rPr>
          <w:rFonts w:ascii="仿宋" w:hAnsi="仿宋" w:eastAsia="仿宋"/>
          <w:b/>
          <w:sz w:val="24"/>
        </w:rPr>
        <w:t>、技术参数：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widowControl/>
        <w:spacing w:line="360" w:lineRule="auto"/>
        <w:jc w:val="left"/>
        <w:rPr>
          <w:rFonts w:ascii="仿宋" w:hAnsi="仿宋" w:eastAsia="仿宋"/>
          <w:sz w:val="24"/>
        </w:rPr>
      </w:pPr>
      <w:r>
        <w:rPr>
          <w:rFonts w:hint="eastAsia" w:ascii="仿宋" w:hAnsi="仿宋" w:eastAsia="仿宋"/>
          <w:sz w:val="24"/>
        </w:rPr>
        <w:t>1、样本数：360例</w:t>
      </w:r>
    </w:p>
    <w:p>
      <w:pPr>
        <w:widowControl/>
        <w:spacing w:line="360" w:lineRule="auto"/>
        <w:jc w:val="left"/>
        <w:rPr>
          <w:rFonts w:ascii="仿宋" w:hAnsi="仿宋" w:eastAsia="仿宋"/>
          <w:sz w:val="24"/>
        </w:rPr>
      </w:pPr>
      <w:r>
        <w:rPr>
          <w:rFonts w:hint="eastAsia" w:ascii="仿宋" w:hAnsi="仿宋" w:eastAsia="仿宋"/>
          <w:sz w:val="24"/>
        </w:rPr>
        <w:t>2、检测平台：实验室拥有针对本采购项目的检测设备，保证设备配置齐全，技术先进，需提供相关资质。</w:t>
      </w:r>
    </w:p>
    <w:p>
      <w:pPr>
        <w:widowControl/>
        <w:spacing w:line="360" w:lineRule="auto"/>
        <w:jc w:val="left"/>
        <w:rPr>
          <w:rFonts w:ascii="仿宋" w:hAnsi="仿宋" w:eastAsia="仿宋"/>
          <w:sz w:val="24"/>
        </w:rPr>
      </w:pPr>
      <w:r>
        <w:rPr>
          <w:rFonts w:hint="eastAsia" w:ascii="仿宋" w:hAnsi="仿宋" w:eastAsia="仿宋"/>
          <w:sz w:val="24"/>
        </w:rPr>
        <w:t>3、样本运输：具有冷链运输体系，可提供温度实时监测数据，能按照要求运送标本，保证生物安全。对于特殊、危急样本，要有及时收取、检测加急的能力；并确保标本无遗失、无差错。全面保证标本及时安全运送至实验室进行相关检测。</w:t>
      </w:r>
    </w:p>
    <w:p>
      <w:pPr>
        <w:widowControl/>
        <w:spacing w:line="360" w:lineRule="auto"/>
        <w:jc w:val="left"/>
        <w:rPr>
          <w:rFonts w:ascii="仿宋" w:hAnsi="仿宋" w:eastAsia="仿宋"/>
          <w:sz w:val="24"/>
        </w:rPr>
      </w:pPr>
      <w:r>
        <w:rPr>
          <w:rFonts w:hint="eastAsia" w:ascii="仿宋" w:hAnsi="仿宋" w:eastAsia="仿宋"/>
          <w:sz w:val="24"/>
        </w:rPr>
        <w:t>4、样本要求:按要求收取标本，核对样本数量，检测项目并进行登记后，才能取样进行检测。确保样本的采集、运输、检测、贮存等各环节有效的控制，并做好保密与安全工作。</w:t>
      </w:r>
    </w:p>
    <w:p>
      <w:pPr>
        <w:widowControl/>
        <w:spacing w:line="360" w:lineRule="auto"/>
        <w:jc w:val="left"/>
        <w:rPr>
          <w:rFonts w:ascii="仿宋" w:hAnsi="仿宋" w:eastAsia="仿宋"/>
          <w:sz w:val="24"/>
        </w:rPr>
      </w:pPr>
      <w:r>
        <w:rPr>
          <w:rFonts w:hint="eastAsia" w:ascii="仿宋" w:hAnsi="仿宋" w:eastAsia="仿宋"/>
          <w:sz w:val="24"/>
        </w:rPr>
        <w:t>5、样本类型:实验室具备处理不同标本类型的能力，标本类型包括：外周血或骨髓、口腔拭子、DNA样本等，需提供完整应急预案和文件。</w:t>
      </w:r>
    </w:p>
    <w:p>
      <w:pPr>
        <w:widowControl/>
        <w:spacing w:line="360" w:lineRule="auto"/>
        <w:jc w:val="left"/>
        <w:rPr>
          <w:rFonts w:ascii="仿宋" w:hAnsi="仿宋" w:eastAsia="仿宋"/>
          <w:sz w:val="24"/>
        </w:rPr>
      </w:pPr>
      <w:r>
        <w:rPr>
          <w:rFonts w:hint="eastAsia" w:ascii="仿宋" w:hAnsi="仿宋" w:eastAsia="仿宋"/>
          <w:sz w:val="24"/>
        </w:rPr>
        <w:t>6、实验室要求：</w:t>
      </w:r>
    </w:p>
    <w:p>
      <w:pPr>
        <w:widowControl/>
        <w:spacing w:line="360" w:lineRule="auto"/>
        <w:jc w:val="left"/>
        <w:rPr>
          <w:rFonts w:ascii="仿宋" w:hAnsi="仿宋" w:eastAsia="仿宋"/>
          <w:sz w:val="24"/>
        </w:rPr>
      </w:pPr>
      <w:r>
        <w:rPr>
          <w:rFonts w:hint="eastAsia" w:ascii="仿宋" w:hAnsi="仿宋" w:eastAsia="仿宋"/>
          <w:sz w:val="24"/>
        </w:rPr>
        <w:t>6.1实验室具有《临床基因扩增检验实验室验收合格证书》。</w:t>
      </w:r>
    </w:p>
    <w:p>
      <w:pPr>
        <w:widowControl/>
        <w:spacing w:line="360" w:lineRule="auto"/>
        <w:jc w:val="left"/>
        <w:rPr>
          <w:rFonts w:ascii="仿宋" w:hAnsi="仿宋" w:eastAsia="仿宋"/>
          <w:sz w:val="24"/>
        </w:rPr>
      </w:pPr>
      <w:r>
        <w:rPr>
          <w:rFonts w:hint="eastAsia" w:ascii="仿宋" w:hAnsi="仿宋" w:eastAsia="仿宋"/>
          <w:sz w:val="24"/>
        </w:rPr>
        <w:t>6.2实验室具有标准化的质量管理体系，通过ISO15189医学实验室认证。</w:t>
      </w:r>
    </w:p>
    <w:p>
      <w:pPr>
        <w:widowControl/>
        <w:spacing w:line="360" w:lineRule="auto"/>
        <w:jc w:val="left"/>
        <w:rPr>
          <w:rFonts w:ascii="仿宋" w:hAnsi="仿宋" w:eastAsia="仿宋"/>
          <w:sz w:val="24"/>
        </w:rPr>
      </w:pPr>
      <w:r>
        <w:rPr>
          <w:rFonts w:hint="eastAsia" w:ascii="仿宋" w:hAnsi="仿宋" w:eastAsia="仿宋"/>
          <w:sz w:val="24"/>
        </w:rPr>
        <w:t>6.3实验室具备完善的质量控制措施、质量手册。</w:t>
      </w:r>
    </w:p>
    <w:p>
      <w:pPr>
        <w:widowControl/>
        <w:spacing w:line="360" w:lineRule="auto"/>
        <w:jc w:val="left"/>
        <w:rPr>
          <w:rFonts w:ascii="仿宋" w:hAnsi="仿宋" w:eastAsia="仿宋"/>
          <w:sz w:val="24"/>
        </w:rPr>
      </w:pPr>
      <w:r>
        <w:rPr>
          <w:rFonts w:hint="eastAsia" w:ascii="仿宋" w:hAnsi="仿宋" w:eastAsia="仿宋"/>
          <w:sz w:val="24"/>
        </w:rPr>
        <w:t>6.4实验室检测项目通过中国卫生部或其他国外专业机构能力测评认可。</w:t>
      </w:r>
    </w:p>
    <w:p>
      <w:pPr>
        <w:widowControl/>
        <w:spacing w:line="360" w:lineRule="auto"/>
        <w:jc w:val="left"/>
        <w:rPr>
          <w:rFonts w:ascii="仿宋" w:hAnsi="仿宋" w:eastAsia="仿宋"/>
          <w:sz w:val="24"/>
        </w:rPr>
      </w:pPr>
      <w:r>
        <w:rPr>
          <w:rFonts w:hint="eastAsia" w:ascii="仿宋" w:hAnsi="仿宋" w:eastAsia="仿宋"/>
          <w:sz w:val="24"/>
        </w:rPr>
        <w:t>6.5实验室具有丰富的群体反应性抗体筛查（PRA）或群体反应性抗体确定（DSA）项目检测经验。</w:t>
      </w:r>
    </w:p>
    <w:p>
      <w:pPr>
        <w:widowControl/>
        <w:spacing w:line="360" w:lineRule="auto"/>
        <w:jc w:val="left"/>
        <w:rPr>
          <w:rFonts w:ascii="仿宋" w:hAnsi="仿宋" w:eastAsia="仿宋"/>
          <w:sz w:val="24"/>
        </w:rPr>
      </w:pPr>
      <w:r>
        <w:rPr>
          <w:rFonts w:hint="eastAsia" w:ascii="仿宋" w:hAnsi="仿宋" w:eastAsia="仿宋"/>
          <w:sz w:val="24"/>
        </w:rPr>
        <w:t>7、交付要求</w:t>
      </w:r>
    </w:p>
    <w:p>
      <w:pPr>
        <w:widowControl/>
        <w:spacing w:line="360" w:lineRule="auto"/>
        <w:jc w:val="left"/>
        <w:rPr>
          <w:rFonts w:ascii="仿宋" w:hAnsi="仿宋" w:eastAsia="仿宋"/>
          <w:sz w:val="24"/>
        </w:rPr>
      </w:pPr>
      <w:r>
        <w:rPr>
          <w:rFonts w:hint="eastAsia" w:ascii="仿宋" w:hAnsi="仿宋" w:eastAsia="仿宋"/>
          <w:sz w:val="24"/>
        </w:rPr>
        <w:t>7.1根据本次招标项目需5个工作日内完成检测，定期返还原始数据。</w:t>
      </w:r>
    </w:p>
    <w:p>
      <w:pPr>
        <w:widowControl/>
        <w:spacing w:line="360" w:lineRule="auto"/>
        <w:jc w:val="left"/>
        <w:rPr>
          <w:rFonts w:ascii="仿宋" w:hAnsi="仿宋" w:eastAsia="仿宋"/>
          <w:sz w:val="24"/>
        </w:rPr>
      </w:pPr>
      <w:r>
        <w:rPr>
          <w:rFonts w:hint="eastAsia" w:ascii="仿宋" w:hAnsi="仿宋" w:eastAsia="仿宋"/>
          <w:sz w:val="24"/>
        </w:rPr>
        <w:t>7.2采购标的的验收标准包括原始数据、报告、室内质控记录；</w:t>
      </w:r>
    </w:p>
    <w:p>
      <w:pPr>
        <w:widowControl/>
        <w:spacing w:line="360" w:lineRule="auto"/>
        <w:jc w:val="left"/>
        <w:rPr>
          <w:rFonts w:ascii="仿宋" w:hAnsi="仿宋" w:eastAsia="仿宋"/>
          <w:sz w:val="24"/>
        </w:rPr>
      </w:pPr>
      <w:r>
        <w:rPr>
          <w:rFonts w:hint="eastAsia" w:ascii="仿宋" w:hAnsi="仿宋" w:eastAsia="仿宋"/>
          <w:sz w:val="24"/>
        </w:rPr>
        <w:t>7.3可针对临床和院内实验室检测人员提供定期交流培训、特殊病例疑难技术支撑。</w:t>
      </w:r>
    </w:p>
    <w:p>
      <w:pPr>
        <w:widowControl/>
        <w:spacing w:line="360" w:lineRule="auto"/>
        <w:jc w:val="left"/>
        <w:rPr>
          <w:rFonts w:ascii="仿宋" w:hAnsi="仿宋" w:eastAsia="仿宋"/>
          <w:sz w:val="24"/>
        </w:rPr>
      </w:pPr>
      <w:r>
        <w:rPr>
          <w:rFonts w:hint="eastAsia" w:ascii="仿宋" w:hAnsi="仿宋" w:eastAsia="仿宋"/>
          <w:sz w:val="24"/>
        </w:rPr>
        <w:t>8、技术人员要求</w:t>
      </w:r>
    </w:p>
    <w:p>
      <w:pPr>
        <w:widowControl/>
        <w:spacing w:line="360" w:lineRule="auto"/>
        <w:jc w:val="left"/>
        <w:rPr>
          <w:rFonts w:ascii="仿宋" w:hAnsi="仿宋" w:eastAsia="仿宋"/>
          <w:sz w:val="24"/>
        </w:rPr>
      </w:pPr>
      <w:r>
        <w:rPr>
          <w:rFonts w:hint="eastAsia" w:ascii="仿宋" w:hAnsi="仿宋" w:eastAsia="仿宋"/>
          <w:sz w:val="24"/>
        </w:rPr>
        <w:t>8.1总体要求：实验室相关技术人员需具备医学检验或生物相关专业；</w:t>
      </w:r>
    </w:p>
    <w:p>
      <w:pPr>
        <w:widowControl/>
        <w:spacing w:line="360" w:lineRule="auto"/>
        <w:jc w:val="left"/>
        <w:rPr>
          <w:rFonts w:ascii="仿宋" w:hAnsi="仿宋" w:eastAsia="仿宋"/>
          <w:sz w:val="24"/>
        </w:rPr>
      </w:pPr>
      <w:r>
        <w:rPr>
          <w:rFonts w:hint="eastAsia" w:ascii="仿宋" w:hAnsi="仿宋" w:eastAsia="仿宋"/>
          <w:sz w:val="24"/>
        </w:rPr>
        <w:t>8.2技术人员配备：实验室主任、实验室检测人员须满足以下要求；</w:t>
      </w:r>
    </w:p>
    <w:p>
      <w:pPr>
        <w:widowControl/>
        <w:spacing w:line="360" w:lineRule="auto"/>
        <w:jc w:val="left"/>
        <w:rPr>
          <w:rFonts w:ascii="仿宋" w:hAnsi="仿宋" w:eastAsia="仿宋"/>
          <w:sz w:val="24"/>
        </w:rPr>
      </w:pPr>
      <w:r>
        <w:rPr>
          <w:rFonts w:hint="eastAsia" w:ascii="仿宋" w:hAnsi="仿宋" w:eastAsia="仿宋"/>
          <w:sz w:val="24"/>
        </w:rPr>
        <w:t>8.2.1实验室主任：必须为专职人员，不得为兼职或退休返聘人员；应获得相关专业的博士及以上学位，同时具备中级及以上医学检验职称；应具备5年以上的血液病相关专业研究经历；</w:t>
      </w:r>
    </w:p>
    <w:p>
      <w:pPr>
        <w:widowControl/>
        <w:spacing w:line="360" w:lineRule="auto"/>
        <w:rPr>
          <w:rFonts w:ascii="仿宋" w:hAnsi="仿宋" w:eastAsia="仿宋"/>
          <w:b/>
          <w:sz w:val="24"/>
        </w:rPr>
      </w:pPr>
      <w:r>
        <w:rPr>
          <w:rFonts w:hint="eastAsia" w:ascii="仿宋" w:hAnsi="仿宋" w:eastAsia="仿宋"/>
          <w:sz w:val="24"/>
        </w:rPr>
        <w:t>8.2.2实验室检测人员：具备临床医学检验从业资格，严格按照实验室标准操作程序进行操作的技能。</w:t>
      </w: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5</w:t>
      </w:r>
      <w:r>
        <w:rPr>
          <w:rFonts w:ascii="仿宋" w:hAnsi="仿宋" w:eastAsia="仿宋"/>
          <w:b/>
          <w:sz w:val="24"/>
        </w:rPr>
        <w:t>包</w:t>
      </w:r>
      <w:r>
        <w:rPr>
          <w:rFonts w:hint="eastAsia" w:ascii="仿宋" w:hAnsi="仿宋" w:eastAsia="仿宋"/>
          <w:b/>
          <w:sz w:val="24"/>
        </w:rPr>
        <w:t xml:space="preserve"> 品目5-3移植术后动态监测(TCA)</w:t>
      </w:r>
    </w:p>
    <w:p>
      <w:pPr>
        <w:widowControl/>
        <w:spacing w:line="360" w:lineRule="auto"/>
        <w:contextualSpacing/>
        <w:jc w:val="left"/>
        <w:rPr>
          <w:rFonts w:ascii="仿宋" w:hAnsi="仿宋" w:eastAsia="仿宋"/>
          <w:sz w:val="24"/>
        </w:rPr>
      </w:pPr>
      <w:r>
        <w:rPr>
          <w:rFonts w:hint="eastAsia" w:ascii="仿宋" w:hAnsi="仿宋" w:eastAsia="仿宋"/>
          <w:b/>
          <w:sz w:val="24"/>
        </w:rPr>
        <w:t>一</w:t>
      </w:r>
      <w:r>
        <w:rPr>
          <w:rFonts w:ascii="仿宋" w:hAnsi="仿宋" w:eastAsia="仿宋"/>
          <w:b/>
          <w:sz w:val="24"/>
        </w:rPr>
        <w:t>、技术参数：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widowControl/>
        <w:spacing w:line="360" w:lineRule="auto"/>
        <w:contextualSpacing/>
        <w:jc w:val="left"/>
        <w:rPr>
          <w:rFonts w:ascii="仿宋" w:hAnsi="仿宋" w:eastAsia="仿宋"/>
          <w:sz w:val="24"/>
        </w:rPr>
      </w:pPr>
      <w:r>
        <w:rPr>
          <w:rFonts w:hint="eastAsia" w:ascii="仿宋" w:hAnsi="仿宋" w:eastAsia="仿宋"/>
          <w:sz w:val="24"/>
        </w:rPr>
        <w:t>1、样本数：6000例</w:t>
      </w:r>
    </w:p>
    <w:p>
      <w:pPr>
        <w:widowControl/>
        <w:spacing w:line="360" w:lineRule="auto"/>
        <w:contextualSpacing/>
        <w:jc w:val="left"/>
        <w:rPr>
          <w:rFonts w:ascii="仿宋" w:hAnsi="仿宋" w:eastAsia="仿宋"/>
          <w:sz w:val="24"/>
        </w:rPr>
      </w:pPr>
      <w:r>
        <w:rPr>
          <w:rFonts w:hint="eastAsia" w:ascii="仿宋" w:hAnsi="仿宋" w:eastAsia="仿宋"/>
          <w:sz w:val="24"/>
        </w:rPr>
        <w:t>2、检测平台：实验室拥有针对本采购项目的检测设备，保证设备配置齐全，技术先进，需提供相关资质。</w:t>
      </w:r>
    </w:p>
    <w:p>
      <w:pPr>
        <w:widowControl/>
        <w:spacing w:line="360" w:lineRule="auto"/>
        <w:contextualSpacing/>
        <w:jc w:val="left"/>
        <w:rPr>
          <w:rFonts w:ascii="仿宋" w:hAnsi="仿宋" w:eastAsia="仿宋"/>
          <w:sz w:val="24"/>
        </w:rPr>
      </w:pPr>
      <w:r>
        <w:rPr>
          <w:rFonts w:hint="eastAsia" w:ascii="仿宋" w:hAnsi="仿宋" w:eastAsia="仿宋"/>
          <w:sz w:val="24"/>
        </w:rPr>
        <w:t>3、样本运输：具有冷链运输体系，可提供温度实时监测数据，能按照要求运送标本，保证生物安全。对于特殊、危急样本，要有及时收取、检测加急的能力；并确保标本无遗失、无差错。全面保证标本及时安全运送至实验室进行相关检测。</w:t>
      </w:r>
    </w:p>
    <w:p>
      <w:pPr>
        <w:widowControl/>
        <w:spacing w:line="360" w:lineRule="auto"/>
        <w:contextualSpacing/>
        <w:jc w:val="left"/>
        <w:rPr>
          <w:rFonts w:ascii="仿宋" w:hAnsi="仿宋" w:eastAsia="仿宋"/>
          <w:sz w:val="24"/>
        </w:rPr>
      </w:pPr>
      <w:r>
        <w:rPr>
          <w:rFonts w:hint="eastAsia" w:ascii="仿宋" w:hAnsi="仿宋" w:eastAsia="仿宋"/>
          <w:sz w:val="24"/>
        </w:rPr>
        <w:t>4、样本要求:按要求收取标本，核对样本数量，检测项目并进行登记后，才能取样进行检测。确保样本的采集、运输、检测、贮存等各环节有效的控制，并做好保密与安全工作。</w:t>
      </w:r>
    </w:p>
    <w:p>
      <w:pPr>
        <w:widowControl/>
        <w:spacing w:line="360" w:lineRule="auto"/>
        <w:contextualSpacing/>
        <w:jc w:val="left"/>
        <w:rPr>
          <w:rFonts w:ascii="仿宋" w:hAnsi="仿宋" w:eastAsia="仿宋"/>
          <w:sz w:val="24"/>
        </w:rPr>
      </w:pPr>
      <w:r>
        <w:rPr>
          <w:rFonts w:hint="eastAsia" w:ascii="仿宋" w:hAnsi="仿宋" w:eastAsia="仿宋"/>
          <w:sz w:val="24"/>
        </w:rPr>
        <w:t>5、样本类型:</w:t>
      </w:r>
      <w:r>
        <w:rPr>
          <w:rFonts w:hint="eastAsia"/>
        </w:rPr>
        <w:t xml:space="preserve"> </w:t>
      </w:r>
      <w:r>
        <w:rPr>
          <w:rFonts w:hint="eastAsia" w:ascii="仿宋" w:hAnsi="仿宋" w:eastAsia="仿宋"/>
          <w:sz w:val="24"/>
        </w:rPr>
        <w:t>实验室具备处理不同标本类型的能力，标本类型包括：外周血或骨髓、口腔拭子、DNA样本等，需提供完整应急预案和文件。</w:t>
      </w:r>
    </w:p>
    <w:p>
      <w:pPr>
        <w:widowControl/>
        <w:spacing w:line="360" w:lineRule="auto"/>
        <w:contextualSpacing/>
        <w:jc w:val="left"/>
        <w:rPr>
          <w:rFonts w:ascii="仿宋" w:hAnsi="仿宋" w:eastAsia="仿宋"/>
          <w:sz w:val="24"/>
        </w:rPr>
      </w:pPr>
      <w:r>
        <w:rPr>
          <w:rFonts w:hint="eastAsia" w:ascii="仿宋" w:hAnsi="仿宋" w:eastAsia="仿宋"/>
          <w:sz w:val="24"/>
        </w:rPr>
        <w:t>6、实验室要求：</w:t>
      </w:r>
    </w:p>
    <w:p>
      <w:pPr>
        <w:widowControl/>
        <w:spacing w:line="360" w:lineRule="auto"/>
        <w:contextualSpacing/>
        <w:jc w:val="left"/>
        <w:rPr>
          <w:rFonts w:ascii="仿宋" w:hAnsi="仿宋" w:eastAsia="仿宋"/>
          <w:sz w:val="24"/>
        </w:rPr>
      </w:pPr>
      <w:r>
        <w:rPr>
          <w:rFonts w:hint="eastAsia" w:ascii="仿宋" w:hAnsi="仿宋" w:eastAsia="仿宋"/>
          <w:sz w:val="24"/>
        </w:rPr>
        <w:t>6.1实验室具有《临床基因扩增检验实验室验收合格证书》。</w:t>
      </w:r>
    </w:p>
    <w:p>
      <w:pPr>
        <w:widowControl/>
        <w:spacing w:line="360" w:lineRule="auto"/>
        <w:contextualSpacing/>
        <w:jc w:val="left"/>
        <w:rPr>
          <w:rFonts w:ascii="仿宋" w:hAnsi="仿宋" w:eastAsia="仿宋"/>
          <w:sz w:val="24"/>
        </w:rPr>
      </w:pPr>
      <w:r>
        <w:rPr>
          <w:rFonts w:hint="eastAsia" w:ascii="仿宋" w:hAnsi="仿宋" w:eastAsia="仿宋"/>
          <w:sz w:val="24"/>
        </w:rPr>
        <w:t>6.2实验室具有标准化的质量管理体系，通过ISO15189医学实验室认证。</w:t>
      </w:r>
    </w:p>
    <w:p>
      <w:pPr>
        <w:widowControl/>
        <w:spacing w:line="360" w:lineRule="auto"/>
        <w:contextualSpacing/>
        <w:jc w:val="left"/>
        <w:rPr>
          <w:rFonts w:ascii="仿宋" w:hAnsi="仿宋" w:eastAsia="仿宋"/>
          <w:sz w:val="24"/>
        </w:rPr>
      </w:pPr>
      <w:r>
        <w:rPr>
          <w:rFonts w:hint="eastAsia" w:ascii="仿宋" w:hAnsi="仿宋" w:eastAsia="仿宋"/>
          <w:sz w:val="24"/>
        </w:rPr>
        <w:t>6.3实验室具备完善的质量控制措施、质量手册。</w:t>
      </w:r>
    </w:p>
    <w:p>
      <w:pPr>
        <w:widowControl/>
        <w:spacing w:line="360" w:lineRule="auto"/>
        <w:contextualSpacing/>
        <w:jc w:val="left"/>
        <w:rPr>
          <w:rFonts w:ascii="仿宋" w:hAnsi="仿宋" w:eastAsia="仿宋"/>
          <w:sz w:val="24"/>
        </w:rPr>
      </w:pPr>
      <w:r>
        <w:rPr>
          <w:rFonts w:hint="eastAsia" w:ascii="仿宋" w:hAnsi="仿宋" w:eastAsia="仿宋"/>
          <w:sz w:val="24"/>
        </w:rPr>
        <w:t>6.4实验室检测项目通过中国卫生部或其他国外专业机构能力测评认可。</w:t>
      </w:r>
    </w:p>
    <w:p>
      <w:pPr>
        <w:widowControl/>
        <w:spacing w:line="360" w:lineRule="auto"/>
        <w:contextualSpacing/>
        <w:jc w:val="left"/>
        <w:rPr>
          <w:rFonts w:ascii="仿宋" w:hAnsi="仿宋" w:eastAsia="仿宋"/>
          <w:sz w:val="24"/>
        </w:rPr>
      </w:pPr>
      <w:r>
        <w:rPr>
          <w:rFonts w:hint="eastAsia" w:ascii="仿宋" w:hAnsi="仿宋" w:eastAsia="仿宋"/>
          <w:sz w:val="24"/>
        </w:rPr>
        <w:t>6.5实验室具有丰富的移植术后嵌合状态动态监测(TCA)（包B、NK、T细胞和全血嵌合状态）项目检测经验。</w:t>
      </w:r>
    </w:p>
    <w:p>
      <w:pPr>
        <w:widowControl/>
        <w:spacing w:line="360" w:lineRule="auto"/>
        <w:contextualSpacing/>
        <w:jc w:val="left"/>
        <w:rPr>
          <w:rFonts w:ascii="仿宋" w:hAnsi="仿宋" w:eastAsia="仿宋"/>
          <w:sz w:val="24"/>
        </w:rPr>
      </w:pPr>
      <w:r>
        <w:rPr>
          <w:rFonts w:hint="eastAsia" w:ascii="仿宋" w:hAnsi="仿宋" w:eastAsia="仿宋"/>
          <w:sz w:val="24"/>
        </w:rPr>
        <w:t>7、交付要求</w:t>
      </w:r>
    </w:p>
    <w:p>
      <w:pPr>
        <w:widowControl/>
        <w:spacing w:line="360" w:lineRule="auto"/>
        <w:contextualSpacing/>
        <w:jc w:val="left"/>
        <w:rPr>
          <w:rFonts w:ascii="仿宋" w:hAnsi="仿宋" w:eastAsia="仿宋"/>
          <w:sz w:val="24"/>
        </w:rPr>
      </w:pPr>
      <w:r>
        <w:rPr>
          <w:rFonts w:hint="eastAsia" w:ascii="仿宋" w:hAnsi="仿宋" w:eastAsia="仿宋"/>
          <w:sz w:val="24"/>
        </w:rPr>
        <w:t>7.1根据本次招标项目需5个工作日内完成检测，定期返还原始数据。</w:t>
      </w:r>
    </w:p>
    <w:p>
      <w:pPr>
        <w:widowControl/>
        <w:spacing w:line="360" w:lineRule="auto"/>
        <w:contextualSpacing/>
        <w:jc w:val="left"/>
        <w:rPr>
          <w:rFonts w:ascii="仿宋" w:hAnsi="仿宋" w:eastAsia="仿宋"/>
          <w:sz w:val="24"/>
        </w:rPr>
      </w:pPr>
      <w:r>
        <w:rPr>
          <w:rFonts w:hint="eastAsia" w:ascii="仿宋" w:hAnsi="仿宋" w:eastAsia="仿宋"/>
          <w:sz w:val="24"/>
        </w:rPr>
        <w:t>7.2采购标的的验收标准包括原始数据、报告、室内质控记录；</w:t>
      </w:r>
    </w:p>
    <w:p>
      <w:pPr>
        <w:widowControl/>
        <w:spacing w:line="360" w:lineRule="auto"/>
        <w:contextualSpacing/>
        <w:jc w:val="left"/>
        <w:rPr>
          <w:rFonts w:ascii="仿宋" w:hAnsi="仿宋" w:eastAsia="仿宋"/>
          <w:sz w:val="24"/>
        </w:rPr>
      </w:pPr>
      <w:r>
        <w:rPr>
          <w:rFonts w:hint="eastAsia" w:ascii="仿宋" w:hAnsi="仿宋" w:eastAsia="仿宋"/>
          <w:sz w:val="24"/>
        </w:rPr>
        <w:t>7.3可针对临床和院内实验室检测人员提供定期交流培训、特殊病例疑难技术支撑。</w:t>
      </w:r>
    </w:p>
    <w:p>
      <w:pPr>
        <w:widowControl/>
        <w:spacing w:line="360" w:lineRule="auto"/>
        <w:contextualSpacing/>
        <w:jc w:val="left"/>
        <w:rPr>
          <w:rFonts w:ascii="仿宋" w:hAnsi="仿宋" w:eastAsia="仿宋"/>
          <w:sz w:val="24"/>
        </w:rPr>
      </w:pPr>
      <w:r>
        <w:rPr>
          <w:rFonts w:hint="eastAsia" w:ascii="仿宋" w:hAnsi="仿宋" w:eastAsia="仿宋"/>
          <w:sz w:val="24"/>
        </w:rPr>
        <w:t>8、技术人员要求</w:t>
      </w:r>
    </w:p>
    <w:p>
      <w:pPr>
        <w:widowControl/>
        <w:spacing w:line="360" w:lineRule="auto"/>
        <w:contextualSpacing/>
        <w:jc w:val="left"/>
        <w:rPr>
          <w:rFonts w:ascii="仿宋" w:hAnsi="仿宋" w:eastAsia="仿宋"/>
          <w:sz w:val="24"/>
        </w:rPr>
      </w:pPr>
      <w:r>
        <w:rPr>
          <w:rFonts w:hint="eastAsia" w:ascii="仿宋" w:hAnsi="仿宋" w:eastAsia="仿宋"/>
          <w:sz w:val="24"/>
        </w:rPr>
        <w:t>8.1总体要求：实验室相关技术人员需具备医学检验或生物相关专业；</w:t>
      </w:r>
    </w:p>
    <w:p>
      <w:pPr>
        <w:widowControl/>
        <w:spacing w:line="360" w:lineRule="auto"/>
        <w:contextualSpacing/>
        <w:jc w:val="left"/>
        <w:rPr>
          <w:rFonts w:ascii="仿宋" w:hAnsi="仿宋" w:eastAsia="仿宋"/>
          <w:sz w:val="24"/>
        </w:rPr>
      </w:pPr>
      <w:r>
        <w:rPr>
          <w:rFonts w:hint="eastAsia" w:ascii="仿宋" w:hAnsi="仿宋" w:eastAsia="仿宋"/>
          <w:sz w:val="24"/>
        </w:rPr>
        <w:t>8.2技术人员配备：实验室主任、实验室检测人员须满足以下要求；</w:t>
      </w:r>
    </w:p>
    <w:p>
      <w:pPr>
        <w:widowControl/>
        <w:spacing w:line="360" w:lineRule="auto"/>
        <w:contextualSpacing/>
        <w:jc w:val="left"/>
        <w:rPr>
          <w:rFonts w:ascii="仿宋" w:hAnsi="仿宋" w:eastAsia="仿宋"/>
          <w:sz w:val="24"/>
        </w:rPr>
      </w:pPr>
      <w:r>
        <w:rPr>
          <w:rFonts w:hint="eastAsia" w:ascii="仿宋" w:hAnsi="仿宋" w:eastAsia="仿宋"/>
          <w:sz w:val="24"/>
        </w:rPr>
        <w:t>8.2.1实验室主任：必须为专职人员，不得为兼职或退休返聘人员；应获得相关专业的博士及以上学位，同时具备中级及以上医学检验职称；应具备5年以上的血液病相关专业研究经历；</w:t>
      </w:r>
    </w:p>
    <w:p>
      <w:pPr>
        <w:widowControl/>
        <w:spacing w:line="360" w:lineRule="auto"/>
        <w:rPr>
          <w:rFonts w:ascii="仿宋" w:hAnsi="仿宋" w:eastAsia="仿宋"/>
          <w:b/>
          <w:sz w:val="24"/>
        </w:rPr>
      </w:pPr>
      <w:r>
        <w:rPr>
          <w:rFonts w:hint="eastAsia" w:ascii="仿宋" w:hAnsi="仿宋" w:eastAsia="仿宋"/>
          <w:sz w:val="24"/>
        </w:rPr>
        <w:t>8.2.2实验室检测人员：具备临床医学检验从业资格，严格按照实验室标准操作程序进行操作的技能。</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6</w:t>
      </w:r>
      <w:r>
        <w:rPr>
          <w:rFonts w:ascii="仿宋" w:hAnsi="仿宋" w:eastAsia="仿宋"/>
          <w:b/>
          <w:sz w:val="24"/>
        </w:rPr>
        <w:t>包</w:t>
      </w:r>
      <w:r>
        <w:rPr>
          <w:rFonts w:hint="eastAsia" w:ascii="仿宋" w:hAnsi="仿宋" w:eastAsia="仿宋"/>
          <w:b/>
          <w:sz w:val="24"/>
        </w:rPr>
        <w:t xml:space="preserve"> 品目6-1儿童安全用药基因检测</w:t>
      </w:r>
    </w:p>
    <w:p>
      <w:pPr>
        <w:widowControl/>
        <w:spacing w:line="360" w:lineRule="auto"/>
        <w:contextualSpacing/>
        <w:rPr>
          <w:rFonts w:ascii="仿宋" w:hAnsi="仿宋" w:eastAsia="仿宋"/>
          <w:b/>
          <w:sz w:val="24"/>
        </w:rPr>
      </w:pPr>
      <w:r>
        <w:rPr>
          <w:rFonts w:ascii="仿宋" w:hAnsi="仿宋" w:eastAsia="仿宋"/>
          <w:b/>
          <w:sz w:val="24"/>
        </w:rPr>
        <w:t>一、技术参数</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1、样本数：1080例</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2、样本信息采集和运输要求：在全国范围内具有冷链运输体系，可提供温度实时监控数据。</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3、样本处理要求</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3.1核对样本数量，检测项目并进行登记后，才能进行检测。确保样本的采集、运输、检测、贮存等各环节有效的控制，并做好保密与安全工作。</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3.2样本类型：具备外周血、组织、口腔式子等特殊样本的实验能力，需提供完整应急预案和文件。</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4、实验室要求</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4.1实验室具有《临床基因扩增检验实验室验收合格证书》。</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4.2实验室具有标准化的质量管理体系，通过ISO15189医学实验室认证。</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4.3实验室具备完善的质量控制措施、质量手册。</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4.4检测单位具有国家卫计委个体化医学试点单位资质。</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5、测序平台要求：</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5.1实验室拥有针对本采购项目的检测设备，保证设备配置齐全，技术先进，需提供相关资质。</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5.2采用创新性多重PCR文库扩增实验技术，在一个PCR反应体系内同时完成多个目标区域扩增及文库构建，进行油包水PCR后，再进行高通量测序、数据分析。</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6、数据质量要求：</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6.1每个位点的平均测序深度＞300X，最低测序深度大于30X，位点检测准确率＞99.9%。每个样本平均有效数据量＞300K reads，最低有效数据量＞30K reads；</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6.2测序速度及读长：运行单端测序读长：100-200bp，单次测序运行时间≤4小时；</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7、检测范围：检测基因数≥50个，位点数≥100个，覆盖药物数量≥165种；</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DNA大片段缺失检测方法和系统：通过在目标缺失片段区域内设定检测区域，在目标缺失片段区域外同一染色体上设置内参区域，获取各区域的测序深度，并利用参考集及加权分析，获得待测样本的CYP2D6基因缺失类型。</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9、CYP2D6检测位点涵盖如下位点和单倍型：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9"/>
        <w:gridCol w:w="2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11"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位点</w:t>
            </w:r>
          </w:p>
        </w:tc>
        <w:tc>
          <w:tcPr>
            <w:tcW w:w="1189"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811"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full-gene-deletion、g.4180G&gt;C、g.4172C&gt;T/G、g.3435C&gt;A、g.3384A&gt;C、</w:t>
            </w:r>
          </w:p>
          <w:p>
            <w:pPr>
              <w:widowControl/>
              <w:spacing w:line="360" w:lineRule="auto"/>
              <w:ind w:left="105" w:leftChars="50"/>
              <w:contextualSpacing/>
              <w:jc w:val="left"/>
              <w:rPr>
                <w:rFonts w:ascii="仿宋" w:hAnsi="仿宋" w:eastAsia="仿宋"/>
                <w:color w:val="000000"/>
                <w:sz w:val="24"/>
              </w:rPr>
            </w:pPr>
            <w:r>
              <w:rPr>
                <w:rFonts w:hint="eastAsia" w:ascii="仿宋" w:hAnsi="仿宋" w:eastAsia="仿宋"/>
                <w:color w:val="000000"/>
                <w:sz w:val="24"/>
              </w:rPr>
              <w:t>g.2988G&gt;A、g.2850C&gt;T、g.1846G&gt;A、g.1758G&gt;A/T、g.997C&gt;T/G、g.984A&gt;G、</w:t>
            </w:r>
          </w:p>
          <w:p>
            <w:pPr>
              <w:widowControl/>
              <w:spacing w:line="360" w:lineRule="auto"/>
              <w:ind w:left="105" w:leftChars="50"/>
              <w:contextualSpacing/>
              <w:jc w:val="left"/>
              <w:rPr>
                <w:rFonts w:ascii="仿宋" w:hAnsi="仿宋" w:eastAsia="仿宋"/>
                <w:color w:val="000000"/>
                <w:sz w:val="24"/>
              </w:rPr>
            </w:pPr>
            <w:r>
              <w:rPr>
                <w:rFonts w:hint="eastAsia" w:ascii="仿宋" w:hAnsi="仿宋" w:eastAsia="仿宋"/>
                <w:color w:val="000000"/>
                <w:sz w:val="24"/>
              </w:rPr>
              <w:t>g.100C&gt;T</w:t>
            </w:r>
          </w:p>
        </w:tc>
        <w:tc>
          <w:tcPr>
            <w:tcW w:w="1189"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*1、*2、*4、</w:t>
            </w:r>
          </w:p>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*5、*10、</w:t>
            </w:r>
          </w:p>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*14、*41、</w:t>
            </w:r>
          </w:p>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*65、*69</w:t>
            </w:r>
          </w:p>
        </w:tc>
      </w:tr>
    </w:tbl>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10、G6PD基因检测位点涵盖如下位点和单倍型：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3"/>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3797"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位点</w:t>
            </w:r>
          </w:p>
        </w:tc>
        <w:tc>
          <w:tcPr>
            <w:tcW w:w="1203"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7" w:type="pct"/>
            <w:tcBorders>
              <w:top w:val="single" w:color="000000" w:sz="4" w:space="0"/>
              <w:left w:val="single" w:color="000000" w:sz="4" w:space="0"/>
              <w:bottom w:val="single" w:color="000000" w:sz="4" w:space="0"/>
              <w:right w:val="single" w:color="000000" w:sz="4" w:space="0"/>
            </w:tcBorders>
          </w:tcPr>
          <w:p>
            <w:pPr>
              <w:widowControl/>
              <w:spacing w:line="360" w:lineRule="auto"/>
              <w:ind w:left="105" w:leftChars="50"/>
              <w:contextualSpacing/>
              <w:jc w:val="left"/>
              <w:rPr>
                <w:rFonts w:ascii="仿宋" w:hAnsi="仿宋" w:eastAsia="仿宋"/>
                <w:color w:val="000000"/>
                <w:sz w:val="24"/>
              </w:rPr>
            </w:pPr>
            <w:r>
              <w:rPr>
                <w:rFonts w:hint="eastAsia" w:ascii="仿宋" w:hAnsi="仿宋" w:eastAsia="仿宋"/>
                <w:color w:val="000000"/>
                <w:sz w:val="24"/>
              </w:rPr>
              <w:t>c.95A&gt;G 、c.196T&gt;A 、c.202G&gt;A 、c.392G&gt;T、</w:t>
            </w:r>
          </w:p>
          <w:p>
            <w:pPr>
              <w:widowControl/>
              <w:spacing w:line="360" w:lineRule="auto"/>
              <w:ind w:left="105" w:leftChars="50"/>
              <w:contextualSpacing/>
              <w:jc w:val="left"/>
              <w:rPr>
                <w:rFonts w:ascii="仿宋" w:hAnsi="仿宋" w:eastAsia="仿宋"/>
                <w:color w:val="000000"/>
                <w:sz w:val="24"/>
              </w:rPr>
            </w:pPr>
            <w:r>
              <w:rPr>
                <w:rFonts w:hint="eastAsia" w:ascii="仿宋" w:hAnsi="仿宋" w:eastAsia="仿宋"/>
                <w:color w:val="000000"/>
                <w:sz w:val="24"/>
              </w:rPr>
              <w:t>c.487G&gt;A 、c.493A&gt;G、c.517T&gt;C、c.519C&gt;T、 c.563C&gt;T、c.592C&gt;T、  871G&gt;A、c.1004C&gt;T、c.1024C&gt;T、1360C&gt;T、c.1376G&gt;T、c.1388G&gt;A</w:t>
            </w:r>
          </w:p>
        </w:tc>
        <w:tc>
          <w:tcPr>
            <w:tcW w:w="1203"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w:t>
            </w:r>
          </w:p>
        </w:tc>
      </w:tr>
    </w:tbl>
    <w:p>
      <w:pPr>
        <w:widowControl/>
        <w:spacing w:line="360" w:lineRule="auto"/>
        <w:jc w:val="left"/>
        <w:rPr>
          <w:rFonts w:ascii="仿宋" w:hAnsi="仿宋" w:eastAsia="仿宋"/>
          <w:color w:val="000000"/>
          <w:kern w:val="0"/>
          <w:sz w:val="24"/>
        </w:rPr>
      </w:pPr>
      <w:r>
        <w:rPr>
          <w:rFonts w:hint="eastAsia" w:ascii="仿宋" w:hAnsi="仿宋" w:eastAsia="仿宋"/>
          <w:color w:val="000000"/>
          <w:kern w:val="0"/>
          <w:sz w:val="24"/>
        </w:rPr>
        <w:t>11、NAT2基因检测位点涵盖如下位点和单倍型：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0"/>
        <w:gridCol w:w="3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7"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位点</w:t>
            </w:r>
          </w:p>
        </w:tc>
        <w:tc>
          <w:tcPr>
            <w:tcW w:w="1813"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3187" w:type="pct"/>
            <w:tcBorders>
              <w:top w:val="single" w:color="000000" w:sz="4" w:space="0"/>
              <w:left w:val="single" w:color="000000" w:sz="4" w:space="0"/>
              <w:bottom w:val="single" w:color="000000" w:sz="4" w:space="0"/>
              <w:right w:val="single" w:color="000000" w:sz="4" w:space="0"/>
            </w:tcBorders>
          </w:tcPr>
          <w:p>
            <w:pPr>
              <w:widowControl/>
              <w:spacing w:line="360" w:lineRule="auto"/>
              <w:ind w:left="105" w:leftChars="50"/>
              <w:contextualSpacing/>
              <w:jc w:val="left"/>
              <w:rPr>
                <w:rFonts w:ascii="仿宋" w:hAnsi="仿宋" w:eastAsia="仿宋"/>
                <w:color w:val="000000"/>
                <w:sz w:val="24"/>
              </w:rPr>
            </w:pPr>
            <w:r>
              <w:rPr>
                <w:rFonts w:hint="eastAsia" w:ascii="仿宋" w:hAnsi="仿宋" w:eastAsia="仿宋"/>
                <w:color w:val="000000"/>
                <w:sz w:val="24"/>
              </w:rPr>
              <w:t>c.282C&gt;T、c.341T&gt;C、c.481C&gt;T、c.590G&gt;A、c.803G&gt;A、c.857G&gt;A</w:t>
            </w:r>
          </w:p>
        </w:tc>
        <w:tc>
          <w:tcPr>
            <w:tcW w:w="1813"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*1、*4、*5、*6、*7、*12、*13</w:t>
            </w:r>
          </w:p>
        </w:tc>
      </w:tr>
    </w:tbl>
    <w:p>
      <w:pPr>
        <w:widowControl/>
        <w:spacing w:line="360" w:lineRule="auto"/>
        <w:jc w:val="left"/>
        <w:rPr>
          <w:rFonts w:ascii="仿宋" w:hAnsi="仿宋" w:eastAsia="仿宋"/>
          <w:color w:val="000000"/>
          <w:kern w:val="0"/>
          <w:sz w:val="24"/>
        </w:rPr>
      </w:pPr>
      <w:r>
        <w:rPr>
          <w:rFonts w:hint="eastAsia" w:ascii="仿宋" w:hAnsi="仿宋" w:eastAsia="仿宋"/>
          <w:color w:val="000000"/>
          <w:kern w:val="0"/>
          <w:sz w:val="24"/>
        </w:rPr>
        <w:t>12、NUDT15基因检测位点涵盖如下位点和单倍型：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0"/>
        <w:gridCol w:w="3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7"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位点</w:t>
            </w:r>
          </w:p>
        </w:tc>
        <w:tc>
          <w:tcPr>
            <w:tcW w:w="1813"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center"/>
              <w:rPr>
                <w:rFonts w:ascii="仿宋" w:hAnsi="仿宋" w:eastAsia="仿宋"/>
                <w:color w:val="000000"/>
                <w:sz w:val="24"/>
              </w:rPr>
            </w:pPr>
            <w:r>
              <w:rPr>
                <w:rFonts w:hint="eastAsia"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7"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c.55_56insGAGTCG、</w:t>
            </w:r>
          </w:p>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c.52G&gt;A</w:t>
            </w:r>
          </w:p>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c.415C&gt;T</w:t>
            </w:r>
          </w:p>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c.416G&gt;A</w:t>
            </w:r>
          </w:p>
        </w:tc>
        <w:tc>
          <w:tcPr>
            <w:tcW w:w="1813" w:type="pct"/>
            <w:tcBorders>
              <w:top w:val="single" w:color="000000" w:sz="4" w:space="0"/>
              <w:left w:val="single" w:color="000000" w:sz="4" w:space="0"/>
              <w:bottom w:val="single" w:color="000000" w:sz="4" w:space="0"/>
              <w:right w:val="single" w:color="000000" w:sz="4" w:space="0"/>
            </w:tcBorders>
          </w:tcPr>
          <w:p>
            <w:pPr>
              <w:widowControl/>
              <w:spacing w:line="360" w:lineRule="auto"/>
              <w:ind w:left="120" w:hanging="120" w:hangingChars="50"/>
              <w:contextualSpacing/>
              <w:jc w:val="left"/>
              <w:rPr>
                <w:rFonts w:ascii="仿宋" w:hAnsi="仿宋" w:eastAsia="仿宋"/>
                <w:color w:val="000000"/>
                <w:sz w:val="24"/>
              </w:rPr>
            </w:pPr>
            <w:r>
              <w:rPr>
                <w:rFonts w:hint="eastAsia" w:ascii="仿宋" w:hAnsi="仿宋" w:eastAsia="仿宋"/>
                <w:color w:val="000000"/>
                <w:sz w:val="24"/>
              </w:rPr>
              <w:t>*1、*2、*3、*4、*5、*6</w:t>
            </w:r>
          </w:p>
        </w:tc>
      </w:tr>
    </w:tbl>
    <w:p>
      <w:pPr>
        <w:pStyle w:val="17"/>
        <w:spacing w:line="360" w:lineRule="auto"/>
        <w:ind w:firstLine="48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参考数据库：包括美国国立健康研究院药数据pharmGKB、国家卫计委颁布的《药物代谢酶和药物作与靶点基因检测技术指南(2015)》，参照FDA（美国食品药品管理局）、EMA（欧洲药物管理局）、PMDA（日本药品及医疗器材管理局）、HealthCanada（加拿大卫生部）、CPIC（临床药物基因组学实施联盟）、DPWG（荷兰皇家药物发展联盟药物基因组学中心）等机构发布的药物及相关基因检测指南或标准。</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13、交付要求</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13.1根据本次招标项目需在15个工作日内完成检测，定期返还原始数据。</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13.2采购标的的验收标准包括原始数据、报告、室内质控记录。</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13.3可针对临床和院内实验室检测人员提供定期交流培训。</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14、技术人员要求</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14.1总体要求：实验室相关技术人员需具备医学检验或生物相关专业；</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14.2技术人员配备：实验室主任、实验室检测人员须满足以下要求；</w:t>
      </w:r>
    </w:p>
    <w:p>
      <w:pPr>
        <w:pStyle w:val="17"/>
        <w:spacing w:line="360" w:lineRule="auto"/>
        <w:ind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14.2.1实验室主任：必须为专职人员，不得为兼职或退休返聘人员；应获得相关专业的硕士及以上学位，同时具备中级及以上医学检验职称；应具备5年以上的相关专业工作或研究经历；</w:t>
      </w:r>
    </w:p>
    <w:p>
      <w:pPr>
        <w:widowControl/>
        <w:spacing w:line="360" w:lineRule="auto"/>
        <w:contextualSpacing/>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14.2.2实验室检测人员：具备临床医学检验从业资格，严格按照实验室标准操作程序进行操作的技能。</w:t>
      </w:r>
    </w:p>
    <w:p>
      <w:pPr>
        <w:spacing w:line="360" w:lineRule="auto"/>
        <w:ind w:firstLine="480" w:firstLineChars="200"/>
        <w:jc w:val="left"/>
        <w:rPr>
          <w:rFonts w:ascii="仿宋" w:hAnsi="仿宋" w:eastAsia="仿宋" w:cs="仿宋"/>
          <w:sz w:val="24"/>
        </w:rPr>
        <w:sectPr>
          <w:headerReference r:id="rId9" w:type="default"/>
          <w:footerReference r:id="rId10" w:type="default"/>
          <w:footerReference r:id="rId11" w:type="even"/>
          <w:pgSz w:w="11907" w:h="16840"/>
          <w:pgMar w:top="1418" w:right="1134" w:bottom="1418" w:left="1701" w:header="851" w:footer="851" w:gutter="0"/>
          <w:cols w:space="720" w:num="1"/>
          <w:docGrid w:linePitch="462" w:charSpace="0"/>
        </w:sectPr>
      </w:pPr>
      <w:bookmarkStart w:id="8" w:name="_GoBack"/>
      <w:bookmarkEnd w:id="8"/>
    </w:p>
    <w:p>
      <w:pPr>
        <w:jc w:val="both"/>
        <w:rPr>
          <w:rFonts w:hint="default"/>
          <w:b/>
          <w:bCs/>
          <w:sz w:val="32"/>
          <w:szCs w:val="40"/>
          <w:lang w:val="en-US" w:eastAsia="zh-CN"/>
        </w:rPr>
      </w:pP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68</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ArGO9EugEAAHM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68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XEYJ9cAAAANAQAADwAAAAAAAAABACAAAAAiAAAAZHJzL2Rvd25yZXYueG1sUEsBAhQAFAAA&#10;AAgAh07iQKT3IUC3AQAAcwMAAA4AAAAAAAAAAQAgAAAAJgEAAGRycy9lMm9Eb2MueG1sUEsFBgAA&#10;AAAGAAYAWQEAAE8FA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g5+IvuwEAAHM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119</w:t>
    </w:r>
    <w:r>
      <w:fldChar w:fldCharType="end"/>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AU6ugd0QEAAJo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N5sNgAAAAJAQAADwAAAAAAAAABACAAAAAi&#10;AAAAZHJzL2Rvd25yZXYueG1sUEsBAhQAFAAAAAgAh07iQJb5wVPRAQAAmgMAAA4AAAAAAAAAAQAg&#10;AAAAJwEAAGRycy9lMm9Eb2MueG1sUEsFBgAAAAAGAAYAWQEAAGoFA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7"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eDWAAAACgEAAA8A&#10;AAAAAAAAAQAgAAAAIgAAAGRycy9kb3ducmV2LnhtbFBLAQIUABQAAAAIAIdO4kB70Bgd4AEAAM8D&#10;AAAOAAAAAAAAAAEAIAAAACUBAABkcnMvZTJvRG9jLnhtbFBLBQYAAAAABgAGAFkBAAB3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3BRbYAAAACQEAAA8AAAAAAAAAAQAgAAAAIgAAAGRycy9kb3ducmV2LnhtbFBLAQIU&#10;ABQAAAAIAIdO4kB8g2oDugEAAHEDAAAOAAAAAAAAAAEAIAAAACcBAABkcnMvZTJvRG9jLnhtbFBL&#10;BQYAAAAABgAGAFkBAABTBQAAAAA=&#10;">
              <v:fill on="f" focussize="0,0"/>
              <v:stroke on="f"/>
              <v:imagedata o:title=""/>
              <o:lock v:ext="edit" aspectratio="f"/>
              <v:textbox inset="0mm,0mm,0mm,0mm">
                <w:txbxContent>
                  <w:p>
                    <w:pPr>
                      <w:spacing w:line="319" w:lineRule="exact"/>
                      <w:ind w:left="20"/>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RatUdkAAAAKAQAADwAAAAAAAAABACAAAAAiAAAAZHJzL2Rvd25yZXYueG1sUEsB&#10;AhQAFAAAAAgAh07iQBSBZ+m7AQAAcQMAAA4AAAAAAAAAAQAgAAAAKAEAAGRycy9lMm9Eb2MueG1s&#10;UEsFBgAAAAAGAAYAWQEAAFUFA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1E5770E0"/>
    <w:rsid w:val="32430622"/>
    <w:rsid w:val="3FB10EEA"/>
    <w:rsid w:val="70B92C9A"/>
    <w:rsid w:val="72834E4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qFormat/>
    <w:uiPriority w:val="0"/>
  </w:style>
  <w:style w:type="character" w:styleId="15">
    <w:name w:val="annotation reference"/>
    <w:qFormat/>
    <w:uiPriority w:val="99"/>
    <w:rPr>
      <w:sz w:val="21"/>
      <w:szCs w:val="21"/>
    </w:rPr>
  </w:style>
  <w:style w:type="paragraph" w:customStyle="1" w:styleId="16">
    <w:name w:val="SOW正文"/>
    <w:basedOn w:val="1"/>
    <w:qFormat/>
    <w:uiPriority w:val="0"/>
    <w:pPr>
      <w:snapToGrid w:val="0"/>
      <w:spacing w:before="120" w:line="400" w:lineRule="exact"/>
      <w:ind w:firstLine="425"/>
    </w:pPr>
    <w:rPr>
      <w:rFonts w:ascii="Times New Roman" w:hAnsi="Times New Roman"/>
      <w:sz w:val="24"/>
      <w:szCs w:val="20"/>
    </w:rPr>
  </w:style>
  <w:style w:type="paragraph" w:styleId="17">
    <w:name w:val="List Paragraph"/>
    <w:basedOn w:val="1"/>
    <w:qFormat/>
    <w:uiPriority w:val="34"/>
    <w:pPr>
      <w:ind w:firstLine="420" w:firstLineChars="200"/>
    </w:pPr>
    <w:rPr>
      <w:rFonts w:cs="Times New Roman"/>
      <w:szCs w:val="22"/>
    </w:rPr>
  </w:style>
  <w:style w:type="paragraph" w:customStyle="1" w:styleId="18">
    <w:name w:val="alt+z"/>
    <w:basedOn w:val="1"/>
    <w:qFormat/>
    <w:uiPriority w:val="0"/>
    <w:pPr>
      <w:spacing w:line="360" w:lineRule="auto"/>
      <w:ind w:firstLine="480" w:firstLineChars="200"/>
    </w:pPr>
    <w:rPr>
      <w:kern w:val="0"/>
      <w:sz w:val="24"/>
    </w:rPr>
  </w:style>
  <w:style w:type="table" w:customStyle="1" w:styleId="19">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2024-10-23T03:02:19Z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