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5"/>
        <w:tblW w:w="999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15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99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4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首儿所医院中央转移支付重大传染病防控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990" w:firstLineChars="550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0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儿科研究所附属儿童医院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于磊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0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9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1.按期完成生命监测相关指标，及时上报妇幼三期，准确率100%。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2.定期组织院内死亡评审，2023年组织院级死亡评审8次，共评审死亡儿童51例，其中5岁以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下儿童31例，总结经验教训，保障医疗安全。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3.2023年完成出生缺陷监测上报894例，零错报、零漏报。</w:t>
            </w:r>
          </w:p>
        </w:tc>
        <w:tc>
          <w:tcPr>
            <w:tcW w:w="42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1.按期完成生命监测相关指标，及时上报妇幼三期，准确率100%。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2.定期组织院内死亡评审，2023年组织院级死亡评审8次，共评审死亡儿童51例，其中5岁以下儿童31例，总结经验教训，保障医疗安全。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3.2023年完成出生缺陷监测上报894例，零错报、零漏报。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按期完成5岁以下儿童死亡卡上报率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按期完成5岁以下儿童死亡评审率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出生缺陷网报数量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894 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894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流感样病例监测例数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149100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149100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流行性感冒报告例数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16647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16647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5岁以下儿童死亡卡填报准确性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主要出生缺陷漏报率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＜1%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＜1%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报告完成率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完成时间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2023年全年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2023年全年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年底一次性支付，序时进度慢，存在优化可能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城乡居民妇幼卫生卫生差距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不断缩小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不断缩小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基本公共卫生服务水平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不断提高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不断提高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基本公共卫生服务对象满意度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较上年提高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较上年提高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2C5016"/>
    <w:rsid w:val="002D182F"/>
    <w:rsid w:val="005B79B3"/>
    <w:rsid w:val="005F7F63"/>
    <w:rsid w:val="00607283"/>
    <w:rsid w:val="0078245C"/>
    <w:rsid w:val="0099655E"/>
    <w:rsid w:val="00A470FA"/>
    <w:rsid w:val="00FF0A22"/>
    <w:rsid w:val="0167401F"/>
    <w:rsid w:val="1C46568C"/>
    <w:rsid w:val="28FF42C9"/>
    <w:rsid w:val="63872CC8"/>
    <w:rsid w:val="663C4352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729</Words>
  <Characters>502</Characters>
  <Lines>4</Lines>
  <Paragraphs>2</Paragraphs>
  <TotalTime>31</TotalTime>
  <ScaleCrop>false</ScaleCrop>
  <LinksUpToDate>false</LinksUpToDate>
  <CharactersWithSpaces>1229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2024-05-11T08:53:15Z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