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配电室运行维保服务项目采购需求</w:t>
      </w:r>
    </w:p>
    <w:p>
      <w:pPr>
        <w:pStyle w:val="2"/>
        <w:snapToGrid w:val="0"/>
        <w:spacing w:before="0" w:line="540" w:lineRule="exact"/>
        <w:jc w:val="left"/>
        <w:rPr>
          <w:rFonts w:ascii="仿宋_GB2312" w:hAnsi="仿宋_GB2312" w:eastAsia="仿宋_GB2312" w:cs="仿宋_GB2312"/>
          <w:sz w:val="24"/>
          <w:szCs w:val="24"/>
        </w:rPr>
      </w:pPr>
      <w:bookmarkStart w:id="0" w:name="_Toc28359079"/>
      <w:bookmarkStart w:id="1" w:name="_Toc35393790"/>
      <w:bookmarkStart w:id="2" w:name="_Toc35393621"/>
      <w:bookmarkStart w:id="3" w:name="_Toc28359002"/>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bookmarkEnd w:id="4"/>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0701-244106030438/01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配电室运行维保服务</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195</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48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203"/>
        <w:gridCol w:w="28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1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4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04"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7"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48" w:type="pct"/>
            <w:shd w:val="clear" w:color="auto" w:fill="auto"/>
            <w:vAlign w:val="center"/>
          </w:tcPr>
          <w:p>
            <w:pPr>
              <w:jc w:val="center"/>
              <w:rPr>
                <w:rFonts w:ascii="仿宋" w:hAnsi="仿宋" w:eastAsia="仿宋"/>
                <w:sz w:val="24"/>
              </w:rPr>
            </w:pPr>
            <w:r>
              <w:rPr>
                <w:rFonts w:hint="eastAsia" w:ascii="仿宋" w:hAnsi="仿宋" w:eastAsia="仿宋"/>
                <w:sz w:val="24"/>
              </w:rPr>
              <w:t>配电室运行维保服务</w:t>
            </w:r>
          </w:p>
        </w:tc>
        <w:tc>
          <w:tcPr>
            <w:tcW w:w="1704"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195</w:t>
            </w:r>
          </w:p>
        </w:tc>
        <w:tc>
          <w:tcPr>
            <w:tcW w:w="72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r>
    </w:tbl>
    <w:p>
      <w:pPr>
        <w:jc w:val="both"/>
        <w:rPr>
          <w:rFonts w:hint="eastAsia"/>
          <w:b/>
          <w:bCs/>
          <w:sz w:val="32"/>
          <w:szCs w:val="40"/>
          <w:lang w:val="en-US" w:eastAsia="zh-CN"/>
        </w:rPr>
      </w:pP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本次招标采购是为首都儿科研究所附属儿童医院提供配电室运行维保服务，投标人应根据招标文件所提出的技术规格和服务要求以先进的技术、优良的服务和优惠的价格，充分显示自己的竞争实力。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投标人应保证所提供的货物及服务符合国家相关法律法规的要求。</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配电室运行维保服务</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服务时间：2024年10月15日至2027年10月14日，合同一</w:t>
      </w:r>
      <w:r>
        <w:rPr>
          <w:rFonts w:ascii="仿宋" w:hAnsi="仿宋" w:eastAsia="仿宋"/>
          <w:sz w:val="24"/>
        </w:rPr>
        <w:t>年一签</w:t>
      </w:r>
      <w:r>
        <w:rPr>
          <w:rFonts w:hint="eastAsia" w:ascii="仿宋" w:hAnsi="仿宋" w:eastAsia="仿宋"/>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五</w:t>
      </w:r>
      <w:r>
        <w:rPr>
          <w:rFonts w:hint="eastAsia" w:ascii="仿宋" w:hAnsi="仿宋" w:eastAsia="仿宋"/>
          <w:b/>
          <w:szCs w:val="24"/>
        </w:rPr>
        <w:t>、采购标的需满足的服务标准、期限、效率等要求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left="420"/>
        <w:contextualSpacing/>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1.服务期限：2024年10月15日至2027年10月14日，合同一</w:t>
      </w:r>
      <w:r>
        <w:rPr>
          <w:rFonts w:ascii="仿宋" w:hAnsi="仿宋" w:eastAsia="仿宋"/>
          <w:sz w:val="24"/>
        </w:rPr>
        <w:t>年一签</w:t>
      </w:r>
      <w:r>
        <w:rPr>
          <w:rFonts w:hint="eastAsia" w:ascii="仿宋" w:hAnsi="仿宋" w:eastAsia="仿宋"/>
          <w:sz w:val="24"/>
        </w:rPr>
        <w:t>。</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六</w:t>
      </w:r>
      <w:r>
        <w:rPr>
          <w:rFonts w:hint="eastAsia" w:ascii="仿宋" w:hAnsi="仿宋" w:eastAsia="仿宋"/>
          <w:b/>
          <w:szCs w:val="24"/>
        </w:rPr>
        <w:t>、采购标的物验收标准</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、采购标的的其他技术、服务等要求</w:t>
      </w:r>
    </w:p>
    <w:p>
      <w:pPr>
        <w:tabs>
          <w:tab w:val="left" w:pos="900"/>
        </w:tabs>
        <w:spacing w:line="360" w:lineRule="auto"/>
        <w:ind w:firstLine="480" w:firstLineChars="200"/>
        <w:contextualSpacing/>
        <w:rPr>
          <w:rFonts w:ascii="仿宋" w:hAnsi="仿宋" w:eastAsia="仿宋"/>
          <w:sz w:val="24"/>
        </w:rPr>
      </w:pPr>
      <w:bookmarkStart w:id="5" w:name="_Toc121429422"/>
      <w:bookmarkStart w:id="6" w:name="_Toc122107226"/>
      <w:bookmarkStart w:id="7" w:name="_Toc128395609"/>
      <w:r>
        <w:rPr>
          <w:rFonts w:hint="eastAsia" w:ascii="仿宋" w:hAnsi="仿宋" w:eastAsia="仿宋"/>
          <w:sz w:val="24"/>
        </w:rPr>
        <w:t>投标人须提供对本次服务目的理解、运维服务方案、项目管理制度、拟采取的应急预案、拟投入项目团队运行人员、培训方案等。</w:t>
      </w:r>
      <w:bookmarkEnd w:id="5"/>
      <w:bookmarkEnd w:id="6"/>
      <w:bookmarkEnd w:id="7"/>
    </w:p>
    <w:p>
      <w:pPr>
        <w:tabs>
          <w:tab w:val="left" w:pos="900"/>
        </w:tabs>
        <w:spacing w:line="360" w:lineRule="auto"/>
        <w:contextualSpacing/>
        <w:rPr>
          <w:rFonts w:ascii="仿宋" w:hAnsi="仿宋" w:eastAsia="仿宋"/>
          <w:b/>
          <w:sz w:val="24"/>
        </w:rPr>
      </w:pPr>
      <w:r>
        <w:rPr>
          <w:rFonts w:hint="eastAsia" w:ascii="仿宋" w:hAnsi="仿宋" w:eastAsia="仿宋"/>
          <w:b/>
          <w:sz w:val="24"/>
          <w:lang w:val="en-US" w:eastAsia="zh-CN"/>
        </w:rPr>
        <w:t>八</w:t>
      </w:r>
      <w:bookmarkStart w:id="12" w:name="_GoBack"/>
      <w:bookmarkEnd w:id="12"/>
      <w:r>
        <w:rPr>
          <w:rFonts w:hint="eastAsia" w:ascii="仿宋" w:hAnsi="仿宋" w:eastAsia="仿宋"/>
          <w:b/>
          <w:sz w:val="24"/>
        </w:rPr>
        <w:t>、采购标的需满足的质量、安全、技术规格、物理特性等要求：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配电室运行维保服务</w:t>
      </w:r>
    </w:p>
    <w:p>
      <w:pPr>
        <w:pStyle w:val="19"/>
        <w:spacing w:line="360" w:lineRule="auto"/>
        <w:ind w:firstLine="0" w:firstLineChars="0"/>
        <w:contextualSpacing/>
        <w:rPr>
          <w:rFonts w:ascii="仿宋" w:hAnsi="仿宋" w:eastAsia="仿宋" w:cs="宋体"/>
          <w:b/>
          <w:bCs/>
          <w:sz w:val="24"/>
          <w:szCs w:val="24"/>
        </w:rPr>
      </w:pPr>
      <w:r>
        <w:rPr>
          <w:rFonts w:hint="eastAsia" w:ascii="仿宋" w:hAnsi="仿宋" w:eastAsia="仿宋" w:cs="Arial"/>
          <w:b/>
          <w:bCs/>
          <w:sz w:val="24"/>
          <w:szCs w:val="24"/>
        </w:rPr>
        <w:t>1、</w:t>
      </w:r>
      <w:r>
        <w:rPr>
          <w:rFonts w:hint="eastAsia" w:ascii="仿宋" w:hAnsi="仿宋" w:eastAsia="仿宋" w:cs="宋体"/>
          <w:b/>
          <w:bCs/>
          <w:sz w:val="24"/>
          <w:szCs w:val="24"/>
        </w:rPr>
        <w:t>项目概况</w:t>
      </w:r>
    </w:p>
    <w:p>
      <w:pPr>
        <w:pStyle w:val="20"/>
        <w:adjustRightInd w:val="0"/>
        <w:spacing w:line="360" w:lineRule="auto"/>
        <w:ind w:firstLine="480"/>
        <w:contextualSpacing/>
        <w:jc w:val="both"/>
        <w:rPr>
          <w:rFonts w:ascii="仿宋" w:hAnsi="仿宋" w:eastAsia="仿宋" w:cs="宋体"/>
          <w:sz w:val="24"/>
          <w:szCs w:val="24"/>
          <w:lang w:val="zh-CN"/>
        </w:rPr>
      </w:pPr>
      <w:r>
        <w:rPr>
          <w:rFonts w:hint="eastAsia" w:ascii="仿宋" w:hAnsi="仿宋" w:eastAsia="仿宋" w:cs="宋体"/>
          <w:sz w:val="24"/>
          <w:szCs w:val="24"/>
          <w:lang w:val="zh-CN"/>
        </w:rPr>
        <w:t>项目概述：首都儿科研究所是一所以医学基础研究、儿科疾病发病机理研究、儿童保健为重点，承担有医疗、教学和预防任务的应用医学研究机构，现配电室共有</w:t>
      </w:r>
      <w:r>
        <w:rPr>
          <w:rFonts w:hint="eastAsia" w:ascii="仿宋" w:hAnsi="仿宋" w:eastAsia="仿宋" w:cs="宋体"/>
          <w:sz w:val="24"/>
          <w:szCs w:val="24"/>
        </w:rPr>
        <w:t>250</w:t>
      </w:r>
      <w:r>
        <w:rPr>
          <w:rFonts w:hint="eastAsia" w:ascii="仿宋" w:hAnsi="仿宋" w:eastAsia="仿宋" w:cs="宋体"/>
          <w:sz w:val="24"/>
          <w:szCs w:val="24"/>
          <w:lang w:val="zh-CN"/>
        </w:rPr>
        <w:t>0kva变压器2台、</w:t>
      </w:r>
      <w:r>
        <w:rPr>
          <w:rFonts w:hint="eastAsia" w:ascii="仿宋" w:hAnsi="仿宋" w:eastAsia="仿宋" w:cs="宋体"/>
          <w:sz w:val="24"/>
          <w:szCs w:val="24"/>
        </w:rPr>
        <w:t>8</w:t>
      </w:r>
      <w:r>
        <w:rPr>
          <w:rFonts w:hint="eastAsia" w:ascii="仿宋" w:hAnsi="仿宋" w:eastAsia="仿宋" w:cs="宋体"/>
          <w:sz w:val="24"/>
          <w:szCs w:val="24"/>
          <w:lang w:val="zh-CN"/>
        </w:rPr>
        <w:t>00kva变压器2台；高压中置柜1</w:t>
      </w:r>
      <w:r>
        <w:rPr>
          <w:rFonts w:hint="eastAsia" w:ascii="仿宋" w:hAnsi="仿宋" w:eastAsia="仿宋" w:cs="宋体"/>
          <w:sz w:val="24"/>
          <w:szCs w:val="24"/>
        </w:rPr>
        <w:t>2</w:t>
      </w:r>
      <w:r>
        <w:rPr>
          <w:rFonts w:hint="eastAsia" w:ascii="仿宋" w:hAnsi="仿宋" w:eastAsia="仿宋" w:cs="宋体"/>
          <w:sz w:val="24"/>
          <w:szCs w:val="24"/>
          <w:lang w:val="zh-CN"/>
        </w:rPr>
        <w:t>面；低压开关柜</w:t>
      </w:r>
      <w:r>
        <w:rPr>
          <w:rFonts w:hint="eastAsia" w:ascii="仿宋" w:hAnsi="仿宋" w:eastAsia="仿宋" w:cs="宋体"/>
          <w:sz w:val="24"/>
          <w:szCs w:val="24"/>
        </w:rPr>
        <w:t>28</w:t>
      </w:r>
      <w:r>
        <w:rPr>
          <w:rFonts w:hint="eastAsia" w:ascii="仿宋" w:hAnsi="仿宋" w:eastAsia="仿宋" w:cs="宋体"/>
          <w:sz w:val="24"/>
          <w:szCs w:val="24"/>
          <w:lang w:val="zh-CN"/>
        </w:rPr>
        <w:t>面；应急柜1面；直流成套设备</w:t>
      </w:r>
      <w:r>
        <w:rPr>
          <w:rFonts w:hint="eastAsia" w:ascii="仿宋" w:hAnsi="仿宋" w:eastAsia="仿宋" w:cs="宋体"/>
          <w:sz w:val="24"/>
          <w:szCs w:val="24"/>
        </w:rPr>
        <w:t>1</w:t>
      </w:r>
      <w:r>
        <w:rPr>
          <w:rFonts w:hint="eastAsia" w:ascii="仿宋" w:hAnsi="仿宋" w:eastAsia="仿宋" w:cs="宋体"/>
          <w:sz w:val="24"/>
          <w:szCs w:val="24"/>
          <w:lang w:val="zh-CN"/>
        </w:rPr>
        <w:t>套；电力监控柜</w:t>
      </w:r>
      <w:r>
        <w:rPr>
          <w:rFonts w:hint="eastAsia" w:ascii="仿宋" w:hAnsi="仿宋" w:eastAsia="仿宋" w:cs="宋体"/>
          <w:sz w:val="24"/>
          <w:szCs w:val="24"/>
        </w:rPr>
        <w:t>1面</w:t>
      </w:r>
      <w:r>
        <w:rPr>
          <w:rFonts w:hint="eastAsia" w:ascii="仿宋" w:hAnsi="仿宋" w:eastAsia="仿宋" w:cs="宋体"/>
          <w:sz w:val="24"/>
          <w:szCs w:val="24"/>
          <w:lang w:val="zh-CN"/>
        </w:rPr>
        <w:t>。</w:t>
      </w:r>
    </w:p>
    <w:p>
      <w:pPr>
        <w:pStyle w:val="20"/>
        <w:adjustRightInd w:val="0"/>
        <w:spacing w:line="360" w:lineRule="auto"/>
        <w:ind w:firstLine="480"/>
        <w:contextualSpacing/>
        <w:jc w:val="both"/>
        <w:rPr>
          <w:rFonts w:ascii="仿宋" w:hAnsi="仿宋" w:eastAsia="仿宋" w:cs="宋体"/>
          <w:sz w:val="24"/>
          <w:szCs w:val="24"/>
          <w:lang w:val="zh-CN"/>
        </w:rPr>
      </w:pPr>
      <w:r>
        <w:rPr>
          <w:rFonts w:hint="eastAsia" w:ascii="仿宋" w:hAnsi="仿宋" w:eastAsia="仿宋" w:cs="宋体"/>
          <w:sz w:val="24"/>
          <w:szCs w:val="24"/>
          <w:lang w:val="zh-CN"/>
        </w:rPr>
        <w:t>总配电室设备明细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897"/>
        <w:gridCol w:w="1776"/>
        <w:gridCol w:w="823"/>
        <w:gridCol w:w="1488"/>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序号</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名称</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型号</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单位</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1036" w:type="pct"/>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投运日期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变压器800kVA</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SCBH15-800/10</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台</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p>
        </w:tc>
        <w:tc>
          <w:tcPr>
            <w:tcW w:w="1036" w:type="pct"/>
            <w:vMerge w:val="restar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01</w:t>
            </w:r>
            <w:r>
              <w:rPr>
                <w:rFonts w:hint="eastAsia" w:ascii="仿宋" w:hAnsi="仿宋" w:eastAsia="仿宋" w:cs="宋体"/>
                <w:kern w:val="0"/>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变压器2500kVA</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SCB13-2500/10</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台</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p>
        </w:tc>
        <w:tc>
          <w:tcPr>
            <w:tcW w:w="1036" w:type="pct"/>
            <w:vMerge w:val="continue"/>
            <w:tcBorders>
              <w:left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3</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高压柜</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 xml:space="preserve">KYN28A-12 </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面</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12</w:t>
            </w:r>
          </w:p>
        </w:tc>
        <w:tc>
          <w:tcPr>
            <w:tcW w:w="1036" w:type="pct"/>
            <w:vMerge w:val="continue"/>
            <w:tcBorders>
              <w:left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4</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低压柜</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EMNS</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面</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42</w:t>
            </w:r>
          </w:p>
        </w:tc>
        <w:tc>
          <w:tcPr>
            <w:tcW w:w="1036" w:type="pct"/>
            <w:vMerge w:val="continue"/>
            <w:tcBorders>
              <w:left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5</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直流屏</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套</w:t>
            </w:r>
          </w:p>
        </w:tc>
        <w:tc>
          <w:tcPr>
            <w:tcW w:w="8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1036" w:type="pct"/>
            <w:vMerge w:val="continue"/>
            <w:tcBorders>
              <w:left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right w:val="single" w:color="auto" w:sz="4" w:space="0"/>
            </w:tcBorders>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6</w:t>
            </w:r>
          </w:p>
        </w:tc>
        <w:tc>
          <w:tcPr>
            <w:tcW w:w="111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电力监控柜</w:t>
            </w:r>
          </w:p>
        </w:tc>
        <w:tc>
          <w:tcPr>
            <w:tcW w:w="102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p>
        </w:tc>
        <w:tc>
          <w:tcPr>
            <w:tcW w:w="48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面</w:t>
            </w: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1036" w:type="pct"/>
            <w:vMerge w:val="continue"/>
            <w:tcBorders>
              <w:left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tcBorders>
              <w:left w:val="single" w:color="auto" w:sz="4" w:space="0"/>
              <w:bottom w:val="single" w:color="auto" w:sz="4" w:space="0"/>
              <w:right w:val="single" w:color="auto" w:sz="4" w:space="0"/>
            </w:tcBorders>
            <w:vAlign w:val="center"/>
          </w:tcPr>
          <w:p>
            <w:pPr>
              <w:widowControl/>
              <w:spacing w:line="360" w:lineRule="auto"/>
              <w:ind w:firstLine="240" w:firstLineChars="100"/>
              <w:contextualSpacing/>
              <w:jc w:val="left"/>
              <w:rPr>
                <w:rFonts w:ascii="仿宋" w:hAnsi="仿宋" w:eastAsia="仿宋" w:cs="宋体"/>
                <w:kern w:val="0"/>
                <w:sz w:val="24"/>
              </w:rPr>
            </w:pPr>
            <w:r>
              <w:rPr>
                <w:rFonts w:hint="eastAsia" w:ascii="仿宋" w:hAnsi="仿宋" w:eastAsia="仿宋" w:cs="宋体"/>
                <w:kern w:val="0"/>
                <w:sz w:val="24"/>
              </w:rPr>
              <w:t>7</w:t>
            </w:r>
          </w:p>
        </w:tc>
        <w:tc>
          <w:tcPr>
            <w:tcW w:w="111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应急配电柜</w:t>
            </w:r>
          </w:p>
        </w:tc>
        <w:tc>
          <w:tcPr>
            <w:tcW w:w="102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EMNS</w:t>
            </w:r>
          </w:p>
        </w:tc>
        <w:tc>
          <w:tcPr>
            <w:tcW w:w="48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面</w:t>
            </w: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3</w:t>
            </w:r>
          </w:p>
        </w:tc>
        <w:tc>
          <w:tcPr>
            <w:tcW w:w="1036" w:type="pct"/>
            <w:vMerge w:val="continue"/>
            <w:tcBorders>
              <w:left w:val="single" w:color="auto" w:sz="4" w:space="0"/>
              <w:bottom w:val="single" w:color="auto" w:sz="4" w:space="0"/>
              <w:right w:val="single" w:color="auto" w:sz="4" w:space="0"/>
            </w:tcBorders>
          </w:tcPr>
          <w:p>
            <w:pPr>
              <w:widowControl/>
              <w:spacing w:line="360" w:lineRule="auto"/>
              <w:contextualSpacing/>
              <w:jc w:val="center"/>
              <w:rPr>
                <w:rFonts w:ascii="仿宋" w:hAnsi="仿宋" w:eastAsia="仿宋" w:cs="宋体"/>
                <w:kern w:val="0"/>
                <w:sz w:val="24"/>
              </w:rPr>
            </w:pPr>
          </w:p>
        </w:tc>
      </w:tr>
    </w:tbl>
    <w:p>
      <w:pPr>
        <w:pStyle w:val="20"/>
        <w:adjustRightInd w:val="0"/>
        <w:spacing w:line="360" w:lineRule="auto"/>
        <w:ind w:firstLine="480"/>
        <w:contextualSpacing/>
        <w:jc w:val="both"/>
        <w:rPr>
          <w:rFonts w:ascii="仿宋" w:hAnsi="仿宋" w:eastAsia="仿宋"/>
          <w:sz w:val="24"/>
          <w:szCs w:val="24"/>
        </w:rPr>
      </w:pPr>
      <w:r>
        <w:rPr>
          <w:rFonts w:hint="eastAsia" w:ascii="仿宋" w:hAnsi="仿宋" w:eastAsia="仿宋" w:cs="宋体"/>
          <w:sz w:val="24"/>
          <w:szCs w:val="24"/>
          <w:lang w:val="zh-CN"/>
        </w:rPr>
        <w:t>应急电源明细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494"/>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9" w:type="pct"/>
            <w:shd w:val="clear" w:color="auto" w:fill="auto"/>
            <w:noWrap/>
            <w:vAlign w:val="center"/>
          </w:tcPr>
          <w:p>
            <w:pPr>
              <w:spacing w:line="360" w:lineRule="auto"/>
              <w:contextualSpacing/>
              <w:jc w:val="left"/>
              <w:rPr>
                <w:rFonts w:ascii="仿宋" w:hAnsi="仿宋" w:eastAsia="仿宋" w:cs="宋体"/>
                <w:b/>
                <w:bCs/>
                <w:kern w:val="0"/>
                <w:sz w:val="24"/>
              </w:rPr>
            </w:pPr>
            <w:r>
              <w:rPr>
                <w:rFonts w:hint="eastAsia" w:ascii="仿宋" w:hAnsi="仿宋" w:eastAsia="仿宋" w:cs="宋体"/>
                <w:b/>
                <w:bCs/>
                <w:kern w:val="0"/>
                <w:sz w:val="24"/>
              </w:rPr>
              <w:t>序号</w:t>
            </w:r>
          </w:p>
        </w:tc>
        <w:tc>
          <w:tcPr>
            <w:tcW w:w="2050" w:type="pct"/>
            <w:shd w:val="clear" w:color="auto" w:fill="auto"/>
            <w:noWrap/>
            <w:vAlign w:val="center"/>
          </w:tcPr>
          <w:p>
            <w:pPr>
              <w:spacing w:line="360" w:lineRule="auto"/>
              <w:contextualSpacing/>
              <w:jc w:val="left"/>
              <w:rPr>
                <w:rFonts w:ascii="仿宋" w:hAnsi="仿宋" w:eastAsia="仿宋" w:cs="宋体"/>
                <w:b/>
                <w:bCs/>
                <w:kern w:val="0"/>
                <w:sz w:val="24"/>
              </w:rPr>
            </w:pPr>
            <w:r>
              <w:rPr>
                <w:rFonts w:hint="eastAsia" w:ascii="仿宋" w:hAnsi="仿宋" w:eastAsia="仿宋" w:cs="宋体"/>
                <w:b/>
                <w:bCs/>
                <w:kern w:val="0"/>
                <w:sz w:val="24"/>
              </w:rPr>
              <w:t>科室</w:t>
            </w:r>
          </w:p>
        </w:tc>
        <w:tc>
          <w:tcPr>
            <w:tcW w:w="2271" w:type="pct"/>
            <w:shd w:val="clear" w:color="auto" w:fill="auto"/>
            <w:noWrap/>
            <w:vAlign w:val="center"/>
          </w:tcPr>
          <w:p>
            <w:pPr>
              <w:spacing w:line="360" w:lineRule="auto"/>
              <w:contextualSpacing/>
              <w:jc w:val="left"/>
              <w:rPr>
                <w:rFonts w:ascii="仿宋" w:hAnsi="仿宋" w:eastAsia="仿宋" w:cs="宋体"/>
                <w:b/>
                <w:bCs/>
                <w:kern w:val="0"/>
                <w:sz w:val="24"/>
              </w:rPr>
            </w:pPr>
            <w:r>
              <w:rPr>
                <w:rFonts w:hint="eastAsia" w:ascii="仿宋" w:hAnsi="仿宋" w:eastAsia="仿宋" w:cs="宋体"/>
                <w:b/>
                <w:bCs/>
                <w:kern w:val="0"/>
                <w:sz w:val="24"/>
              </w:rPr>
              <w:t xml:space="preserve">              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b/>
                <w:bCs/>
                <w:kern w:val="0"/>
                <w:sz w:val="24"/>
              </w:rPr>
              <w:t>1</w:t>
            </w:r>
          </w:p>
        </w:tc>
        <w:tc>
          <w:tcPr>
            <w:tcW w:w="2050"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b/>
                <w:bCs/>
                <w:kern w:val="0"/>
                <w:sz w:val="24"/>
              </w:rPr>
              <w:t>门诊楼</w:t>
            </w:r>
          </w:p>
        </w:tc>
        <w:tc>
          <w:tcPr>
            <w:tcW w:w="2271" w:type="pct"/>
            <w:shd w:val="clear" w:color="auto" w:fill="auto"/>
            <w:vAlign w:val="center"/>
          </w:tcPr>
          <w:p>
            <w:pPr>
              <w:spacing w:line="360" w:lineRule="auto"/>
              <w:contextualSpacing/>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1.1</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一层配电间 （收费、药房）</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20</w:t>
            </w:r>
            <w:r>
              <w:rPr>
                <w:rFonts w:ascii="仿宋" w:hAnsi="仿宋" w:eastAsia="仿宋"/>
                <w:sz w:val="24"/>
              </w:rPr>
              <w:t xml:space="preserve">KVA </w:t>
            </w:r>
            <w:r>
              <w:rPr>
                <w:rFonts w:hint="eastAsia" w:ascii="仿宋" w:hAnsi="仿宋" w:eastAsia="仿宋"/>
                <w:sz w:val="24"/>
              </w:rPr>
              <w:t xml:space="preserve"> </w:t>
            </w:r>
            <w:r>
              <w:rPr>
                <w:rFonts w:ascii="仿宋" w:hAnsi="仿宋" w:eastAsia="仿宋"/>
                <w:sz w:val="24"/>
              </w:rP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1.2</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四层检验科</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8</w:t>
            </w:r>
            <w:r>
              <w:rPr>
                <w:rFonts w:hint="eastAsia" w:ascii="仿宋" w:hAnsi="仿宋" w:eastAsia="仿宋"/>
                <w:sz w:val="24"/>
              </w:rPr>
              <w:t>0</w:t>
            </w:r>
            <w:r>
              <w:rPr>
                <w:rFonts w:ascii="仿宋" w:hAnsi="仿宋" w:eastAsia="仿宋"/>
                <w:sz w:val="24"/>
              </w:rPr>
              <w:t>KVA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1.3</w:t>
            </w:r>
          </w:p>
        </w:tc>
        <w:tc>
          <w:tcPr>
            <w:tcW w:w="2050" w:type="pct"/>
            <w:shd w:val="clear" w:color="auto" w:fill="auto"/>
            <w:vAlign w:val="center"/>
          </w:tcPr>
          <w:p>
            <w:pPr>
              <w:spacing w:line="360" w:lineRule="auto"/>
              <w:contextualSpacing/>
              <w:rPr>
                <w:rFonts w:ascii="仿宋" w:hAnsi="仿宋" w:eastAsia="仿宋"/>
                <w:sz w:val="24"/>
              </w:rPr>
            </w:pPr>
            <w:r>
              <w:rPr>
                <w:rFonts w:hint="eastAsia" w:ascii="仿宋" w:hAnsi="仿宋" w:eastAsia="仿宋"/>
                <w:sz w:val="24"/>
              </w:rPr>
              <w:t>顶层门诊手术室</w:t>
            </w:r>
          </w:p>
        </w:tc>
        <w:tc>
          <w:tcPr>
            <w:tcW w:w="2271" w:type="pct"/>
            <w:shd w:val="clear" w:color="auto" w:fill="auto"/>
            <w:vAlign w:val="center"/>
          </w:tcPr>
          <w:p>
            <w:pPr>
              <w:spacing w:line="360" w:lineRule="auto"/>
              <w:contextualSpacing/>
              <w:rPr>
                <w:rFonts w:ascii="仿宋" w:hAnsi="仿宋" w:eastAsia="仿宋"/>
                <w:sz w:val="24"/>
              </w:rPr>
            </w:pPr>
            <w:r>
              <w:rPr>
                <w:rFonts w:hint="eastAsia" w:ascii="仿宋" w:hAnsi="仿宋" w:eastAsia="仿宋"/>
                <w:sz w:val="24"/>
              </w:rPr>
              <w:t>2台</w:t>
            </w:r>
            <w:r>
              <w:rPr>
                <w:rFonts w:ascii="仿宋" w:hAnsi="仿宋" w:eastAsia="仿宋"/>
                <w:sz w:val="24"/>
              </w:rPr>
              <w:t xml:space="preserve">   40kva  </w:t>
            </w:r>
            <w:r>
              <w:rPr>
                <w:rFonts w:hint="eastAsia" w:ascii="仿宋" w:hAnsi="仿宋" w:eastAsia="仿宋"/>
                <w:sz w:val="24"/>
              </w:rPr>
              <w:t>U</w:t>
            </w:r>
            <w:r>
              <w:rPr>
                <w:rFonts w:ascii="仿宋" w:hAnsi="仿宋" w:eastAsia="仿宋"/>
                <w:sz w:val="24"/>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b/>
                <w:bCs/>
                <w:kern w:val="0"/>
                <w:sz w:val="24"/>
              </w:rPr>
              <w:t>2</w:t>
            </w:r>
          </w:p>
        </w:tc>
        <w:tc>
          <w:tcPr>
            <w:tcW w:w="2050" w:type="pct"/>
            <w:shd w:val="clear" w:color="auto" w:fill="auto"/>
            <w:vAlign w:val="center"/>
          </w:tcPr>
          <w:p>
            <w:pPr>
              <w:spacing w:line="360" w:lineRule="auto"/>
              <w:contextualSpacing/>
              <w:rPr>
                <w:rFonts w:ascii="仿宋" w:hAnsi="仿宋" w:eastAsia="仿宋"/>
                <w:b/>
                <w:bCs/>
                <w:sz w:val="24"/>
              </w:rPr>
            </w:pPr>
            <w:r>
              <w:rPr>
                <w:rFonts w:hint="eastAsia" w:ascii="仿宋" w:hAnsi="仿宋" w:eastAsia="仿宋"/>
                <w:b/>
                <w:bCs/>
                <w:sz w:val="24"/>
              </w:rPr>
              <w:t>病房楼</w:t>
            </w:r>
          </w:p>
        </w:tc>
        <w:tc>
          <w:tcPr>
            <w:tcW w:w="2271" w:type="pct"/>
            <w:shd w:val="clear" w:color="auto" w:fill="auto"/>
            <w:vAlign w:val="center"/>
          </w:tcPr>
          <w:p>
            <w:pPr>
              <w:spacing w:line="360" w:lineRule="auto"/>
              <w:contextualSpacing/>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2.1</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地下二层B214</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1</w:t>
            </w:r>
            <w:r>
              <w:rPr>
                <w:rFonts w:hint="eastAsia" w:ascii="仿宋" w:hAnsi="仿宋" w:eastAsia="仿宋"/>
                <w:sz w:val="24"/>
              </w:rPr>
              <w:t>0</w:t>
            </w:r>
            <w:r>
              <w:rPr>
                <w:rFonts w:ascii="仿宋" w:hAnsi="仿宋" w:eastAsia="仿宋"/>
                <w:sz w:val="24"/>
              </w:rPr>
              <w:t>KVA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2.2</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地下一层B102</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20</w:t>
            </w:r>
            <w:r>
              <w:rPr>
                <w:rFonts w:ascii="仿宋" w:hAnsi="仿宋" w:eastAsia="仿宋"/>
                <w:sz w:val="24"/>
              </w:rPr>
              <w:t xml:space="preserve">KVA </w:t>
            </w:r>
            <w:r>
              <w:rPr>
                <w:rFonts w:hint="eastAsia" w:ascii="仿宋" w:hAnsi="仿宋" w:eastAsia="仿宋"/>
                <w:sz w:val="24"/>
              </w:rPr>
              <w:t xml:space="preserve">  U</w:t>
            </w:r>
            <w:r>
              <w:rPr>
                <w:rFonts w:ascii="仿宋" w:hAnsi="仿宋" w:eastAsia="仿宋"/>
                <w:sz w:val="24"/>
              </w:rPr>
              <w:t xml:space="preserve">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2.3</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一层ICU病房</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 xml:space="preserve"> </w:t>
            </w:r>
            <w:r>
              <w:rPr>
                <w:rFonts w:hint="eastAsia" w:ascii="仿宋" w:hAnsi="仿宋" w:eastAsia="仿宋"/>
                <w:sz w:val="24"/>
              </w:rPr>
              <w:t>U</w:t>
            </w:r>
            <w:r>
              <w:rPr>
                <w:rFonts w:ascii="仿宋" w:hAnsi="仿宋" w:eastAsia="仿宋"/>
                <w:sz w:val="24"/>
              </w:rPr>
              <w:t xml:space="preserve">PS </w:t>
            </w:r>
            <w:r>
              <w:rPr>
                <w:rFonts w:hint="eastAsia" w:ascii="仿宋" w:hAnsi="仿宋" w:eastAsia="仿宋"/>
                <w:sz w:val="24"/>
              </w:rPr>
              <w:t>(</w:t>
            </w:r>
            <w:r>
              <w:rPr>
                <w:rFonts w:ascii="仿宋" w:hAnsi="仿宋" w:eastAsia="仿宋"/>
                <w:sz w:val="24"/>
              </w:rPr>
              <w:t>1</w:t>
            </w:r>
            <w:r>
              <w:rPr>
                <w:rFonts w:hint="eastAsia" w:ascii="仿宋" w:hAnsi="仿宋" w:eastAsia="仿宋"/>
                <w:sz w:val="24"/>
              </w:rPr>
              <w:t>0</w:t>
            </w:r>
            <w:r>
              <w:rPr>
                <w:rFonts w:ascii="仿宋" w:hAnsi="仿宋" w:eastAsia="仿宋"/>
                <w:sz w:val="24"/>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2.4</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一层ICU病房外</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 xml:space="preserve">UPS </w:t>
            </w:r>
            <w:r>
              <w:rPr>
                <w:rFonts w:hint="eastAsia" w:ascii="仿宋" w:hAnsi="仿宋" w:eastAsia="仿宋"/>
                <w:sz w:val="24"/>
              </w:rPr>
              <w:t>(</w:t>
            </w:r>
            <w:r>
              <w:rPr>
                <w:rFonts w:ascii="仿宋" w:hAnsi="仿宋" w:eastAsia="仿宋"/>
                <w:sz w:val="24"/>
              </w:rPr>
              <w:t>1</w:t>
            </w:r>
            <w:r>
              <w:rPr>
                <w:rFonts w:hint="eastAsia" w:ascii="仿宋" w:hAnsi="仿宋" w:eastAsia="仿宋"/>
                <w:sz w:val="24"/>
              </w:rPr>
              <w:t>0</w:t>
            </w:r>
            <w:r>
              <w:rPr>
                <w:rFonts w:ascii="仿宋" w:hAnsi="仿宋" w:eastAsia="仿宋"/>
                <w:sz w:val="24"/>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2.5</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六层新生儿外科</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U</w:t>
            </w:r>
            <w:r>
              <w:rPr>
                <w:rFonts w:ascii="仿宋" w:hAnsi="仿宋" w:eastAsia="仿宋"/>
                <w:sz w:val="24"/>
              </w:rPr>
              <w:t>PS</w:t>
            </w:r>
            <w:r>
              <w:rPr>
                <w:rFonts w:hint="eastAsia" w:ascii="仿宋" w:hAnsi="仿宋" w:eastAsia="仿宋"/>
                <w:sz w:val="24"/>
              </w:rPr>
              <w:t>（120</w:t>
            </w:r>
            <w:r>
              <w:rPr>
                <w:rFonts w:ascii="仿宋" w:hAnsi="仿宋" w:eastAsia="仿宋"/>
                <w:sz w:val="24"/>
              </w:rPr>
              <w:t>KVA</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2.6</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七层血液I</w:t>
            </w:r>
            <w:r>
              <w:rPr>
                <w:rFonts w:ascii="仿宋" w:hAnsi="仿宋" w:eastAsia="仿宋"/>
                <w:sz w:val="24"/>
              </w:rPr>
              <w:t>CU</w:t>
            </w:r>
            <w:r>
              <w:rPr>
                <w:rFonts w:hint="eastAsia" w:ascii="仿宋" w:hAnsi="仿宋" w:eastAsia="仿宋"/>
                <w:sz w:val="24"/>
              </w:rPr>
              <w:t>病房</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2台U</w:t>
            </w:r>
            <w:r>
              <w:rPr>
                <w:rFonts w:ascii="仿宋" w:hAnsi="仿宋" w:eastAsia="仿宋"/>
                <w:sz w:val="24"/>
              </w:rPr>
              <w:t>PS</w:t>
            </w:r>
            <w:r>
              <w:rPr>
                <w:rFonts w:hint="eastAsia" w:ascii="仿宋" w:hAnsi="仿宋" w:eastAsia="仿宋"/>
                <w:sz w:val="24"/>
              </w:rPr>
              <w:t>（20</w:t>
            </w:r>
            <w:r>
              <w:rPr>
                <w:rFonts w:ascii="仿宋" w:hAnsi="仿宋" w:eastAsia="仿宋"/>
                <w:sz w:val="24"/>
              </w:rPr>
              <w:t>KVA</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2.7</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八层手术室（强电间）</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PS    20kva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2.8</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顶层手术室（设备间）</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60</w:t>
            </w:r>
            <w:r>
              <w:rPr>
                <w:rFonts w:ascii="仿宋" w:hAnsi="仿宋" w:eastAsia="仿宋"/>
                <w:sz w:val="24"/>
              </w:rPr>
              <w:t>KVA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b/>
                <w:bCs/>
                <w:kern w:val="0"/>
                <w:sz w:val="24"/>
              </w:rPr>
              <w:t>3</w:t>
            </w:r>
          </w:p>
        </w:tc>
        <w:tc>
          <w:tcPr>
            <w:tcW w:w="2050"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b/>
                <w:bCs/>
                <w:kern w:val="0"/>
                <w:sz w:val="24"/>
              </w:rPr>
              <w:t>科研楼</w:t>
            </w:r>
          </w:p>
        </w:tc>
        <w:tc>
          <w:tcPr>
            <w:tcW w:w="2271" w:type="pct"/>
            <w:shd w:val="clear" w:color="auto" w:fill="auto"/>
            <w:vAlign w:val="center"/>
          </w:tcPr>
          <w:p>
            <w:pPr>
              <w:spacing w:line="360" w:lineRule="auto"/>
              <w:contextualSpacing/>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kern w:val="0"/>
                <w:sz w:val="24"/>
              </w:rPr>
              <w:t>3.1</w:t>
            </w:r>
          </w:p>
        </w:tc>
        <w:tc>
          <w:tcPr>
            <w:tcW w:w="2050"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cs="宋体"/>
                <w:kern w:val="0"/>
                <w:sz w:val="24"/>
              </w:rPr>
              <w:t>地下一层（B</w:t>
            </w:r>
            <w:r>
              <w:rPr>
                <w:rFonts w:ascii="仿宋" w:hAnsi="仿宋" w:eastAsia="仿宋" w:cs="宋体"/>
                <w:kern w:val="0"/>
                <w:sz w:val="24"/>
              </w:rPr>
              <w:t>106</w:t>
            </w:r>
            <w:r>
              <w:rPr>
                <w:rFonts w:hint="eastAsia" w:ascii="仿宋" w:hAnsi="仿宋" w:eastAsia="仿宋" w:cs="宋体"/>
                <w:kern w:val="0"/>
                <w:sz w:val="24"/>
              </w:rPr>
              <w:t>）</w:t>
            </w:r>
          </w:p>
        </w:tc>
        <w:tc>
          <w:tcPr>
            <w:tcW w:w="2271" w:type="pct"/>
            <w:shd w:val="clear" w:color="auto" w:fill="auto"/>
            <w:vAlign w:val="center"/>
          </w:tcPr>
          <w:p>
            <w:pPr>
              <w:spacing w:line="360" w:lineRule="auto"/>
              <w:contextualSpacing/>
              <w:rPr>
                <w:rFonts w:ascii="仿宋" w:hAnsi="仿宋" w:eastAsia="仿宋" w:cs="宋体"/>
                <w:b/>
                <w:bCs/>
                <w:kern w:val="0"/>
                <w:sz w:val="24"/>
              </w:rPr>
            </w:pPr>
            <w:r>
              <w:rPr>
                <w:rFonts w:hint="eastAsia" w:ascii="仿宋" w:hAnsi="仿宋" w:eastAsia="仿宋"/>
                <w:sz w:val="24"/>
              </w:rPr>
              <w:t>20</w:t>
            </w:r>
            <w:r>
              <w:rPr>
                <w:rFonts w:ascii="仿宋" w:hAnsi="仿宋" w:eastAsia="仿宋"/>
                <w:sz w:val="24"/>
              </w:rPr>
              <w:t xml:space="preserve">KVA 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3.2</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四层</w:t>
            </w:r>
          </w:p>
        </w:tc>
        <w:tc>
          <w:tcPr>
            <w:tcW w:w="2271"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30</w:t>
            </w:r>
            <w:r>
              <w:rPr>
                <w:rFonts w:ascii="仿宋" w:hAnsi="仿宋" w:eastAsia="仿宋"/>
                <w:sz w:val="24"/>
              </w:rPr>
              <w:t xml:space="preserve">KVA 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9"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3.3</w:t>
            </w:r>
          </w:p>
        </w:tc>
        <w:tc>
          <w:tcPr>
            <w:tcW w:w="2050"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sz w:val="24"/>
              </w:rPr>
              <w:t>配电室</w:t>
            </w:r>
          </w:p>
        </w:tc>
        <w:tc>
          <w:tcPr>
            <w:tcW w:w="2271"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sz w:val="24"/>
              </w:rPr>
              <w:t xml:space="preserve">800kva  </w:t>
            </w:r>
            <w:r>
              <w:rPr>
                <w:rFonts w:hint="eastAsia" w:ascii="仿宋" w:hAnsi="仿宋" w:eastAsia="仿宋"/>
                <w:sz w:val="24"/>
              </w:rPr>
              <w:t>发电机组</w:t>
            </w:r>
          </w:p>
        </w:tc>
      </w:tr>
    </w:tbl>
    <w:p>
      <w:pPr>
        <w:pStyle w:val="20"/>
        <w:adjustRightInd w:val="0"/>
        <w:spacing w:line="360" w:lineRule="auto"/>
        <w:ind w:firstLine="0" w:firstLineChars="0"/>
        <w:contextualSpacing/>
        <w:jc w:val="both"/>
        <w:rPr>
          <w:rFonts w:ascii="仿宋" w:hAnsi="仿宋" w:eastAsia="仿宋" w:cs="宋体"/>
          <w:b/>
          <w:bCs/>
          <w:sz w:val="24"/>
          <w:szCs w:val="24"/>
          <w:lang w:val="zh-CN"/>
        </w:rPr>
      </w:pPr>
      <w:bookmarkStart w:id="8" w:name="_Toc366783735"/>
      <w:bookmarkStart w:id="9" w:name="_Toc367088195"/>
      <w:bookmarkStart w:id="10" w:name="_Toc366784297"/>
      <w:bookmarkStart w:id="11" w:name="_Toc366783616"/>
      <w:r>
        <w:rPr>
          <w:rFonts w:hint="eastAsia" w:ascii="仿宋" w:hAnsi="仿宋" w:eastAsia="仿宋" w:cs="宋体"/>
          <w:b/>
          <w:bCs/>
          <w:sz w:val="24"/>
          <w:szCs w:val="24"/>
        </w:rPr>
        <w:t>2、</w:t>
      </w:r>
      <w:r>
        <w:rPr>
          <w:rFonts w:hint="eastAsia" w:ascii="仿宋" w:hAnsi="仿宋" w:eastAsia="仿宋" w:cs="宋体"/>
          <w:b/>
          <w:bCs/>
          <w:sz w:val="24"/>
          <w:szCs w:val="24"/>
          <w:lang w:val="zh-CN"/>
        </w:rPr>
        <w:t>人员要求：</w:t>
      </w:r>
    </w:p>
    <w:p>
      <w:pPr>
        <w:pStyle w:val="20"/>
        <w:adjustRightInd w:val="0"/>
        <w:spacing w:line="360" w:lineRule="auto"/>
        <w:ind w:firstLine="0" w:firstLineChars="0"/>
        <w:contextualSpacing/>
        <w:jc w:val="both"/>
        <w:rPr>
          <w:rFonts w:ascii="仿宋" w:hAnsi="仿宋" w:eastAsia="仿宋" w:cs="宋体"/>
          <w:b/>
          <w:bCs/>
          <w:sz w:val="24"/>
          <w:szCs w:val="24"/>
        </w:rPr>
      </w:pPr>
      <w:r>
        <w:rPr>
          <w:rFonts w:hint="eastAsia" w:ascii="仿宋" w:hAnsi="仿宋" w:eastAsia="仿宋" w:cs="宋体"/>
          <w:b/>
          <w:bCs/>
          <w:sz w:val="24"/>
          <w:szCs w:val="24"/>
          <w:lang w:val="zh-CN"/>
        </w:rPr>
        <w:t>2</w:t>
      </w:r>
      <w:r>
        <w:rPr>
          <w:rFonts w:ascii="仿宋" w:hAnsi="仿宋" w:eastAsia="仿宋" w:cs="宋体"/>
          <w:b/>
          <w:bCs/>
          <w:sz w:val="24"/>
          <w:szCs w:val="24"/>
          <w:lang w:val="zh-CN"/>
        </w:rPr>
        <w:t>.1</w:t>
      </w:r>
      <w:r>
        <w:rPr>
          <w:rFonts w:hint="eastAsia" w:ascii="仿宋" w:hAnsi="仿宋" w:eastAsia="仿宋" w:cs="宋体"/>
          <w:b/>
          <w:bCs/>
          <w:sz w:val="24"/>
          <w:szCs w:val="24"/>
        </w:rPr>
        <w:t>项目经理</w:t>
      </w:r>
    </w:p>
    <w:p>
      <w:pPr>
        <w:pStyle w:val="20"/>
        <w:adjustRightInd w:val="0"/>
        <w:spacing w:line="360" w:lineRule="auto"/>
        <w:ind w:firstLine="480" w:firstLineChars="0"/>
        <w:contextualSpacing/>
        <w:jc w:val="both"/>
        <w:rPr>
          <w:rFonts w:ascii="仿宋" w:hAnsi="仿宋" w:eastAsia="仿宋" w:cs="宋体"/>
          <w:sz w:val="24"/>
          <w:szCs w:val="24"/>
        </w:rPr>
      </w:pPr>
      <w:r>
        <w:rPr>
          <w:rFonts w:hint="eastAsia" w:ascii="仿宋" w:hAnsi="仿宋" w:eastAsia="仿宋" w:cs="宋体"/>
          <w:sz w:val="24"/>
          <w:szCs w:val="24"/>
          <w:lang w:val="zh-CN"/>
        </w:rPr>
        <w:t>项目团队配项目负责人1人，</w:t>
      </w:r>
      <w:r>
        <w:rPr>
          <w:rFonts w:hint="eastAsia" w:ascii="仿宋" w:hAnsi="仿宋" w:eastAsia="仿宋" w:cs="仿宋"/>
          <w:sz w:val="24"/>
          <w:szCs w:val="24"/>
        </w:rPr>
        <w:t>人员须持有</w:t>
      </w:r>
      <w:r>
        <w:rPr>
          <w:rFonts w:hint="eastAsia" w:ascii="仿宋" w:hAnsi="仿宋" w:eastAsia="仿宋" w:cs="仿宋"/>
          <w:sz w:val="24"/>
          <w:szCs w:val="24"/>
          <w:lang w:bidi="ar"/>
        </w:rPr>
        <w:t>电气专业高级工程师证书和</w:t>
      </w:r>
      <w:r>
        <w:rPr>
          <w:rFonts w:hint="eastAsia" w:ascii="仿宋" w:hAnsi="仿宋" w:eastAsia="仿宋" w:cs="仿宋"/>
          <w:sz w:val="24"/>
          <w:szCs w:val="24"/>
        </w:rPr>
        <w:t>《中华人民共和国特种作业操作证》（高压电工作业），</w:t>
      </w:r>
      <w:r>
        <w:rPr>
          <w:rFonts w:hint="eastAsia" w:ascii="仿宋" w:hAnsi="仿宋" w:eastAsia="仿宋" w:cs="宋体"/>
          <w:sz w:val="24"/>
          <w:szCs w:val="24"/>
        </w:rPr>
        <w:t>项目经理不驻场。</w:t>
      </w:r>
    </w:p>
    <w:p>
      <w:pPr>
        <w:pStyle w:val="20"/>
        <w:adjustRightInd w:val="0"/>
        <w:spacing w:line="360" w:lineRule="auto"/>
        <w:ind w:firstLine="0" w:firstLineChars="0"/>
        <w:contextualSpacing/>
        <w:jc w:val="both"/>
        <w:rPr>
          <w:rFonts w:ascii="仿宋" w:hAnsi="仿宋" w:eastAsia="仿宋" w:cs="宋体"/>
          <w:b/>
          <w:bCs/>
          <w:sz w:val="24"/>
          <w:szCs w:val="24"/>
        </w:rPr>
      </w:pPr>
      <w:r>
        <w:rPr>
          <w:rFonts w:hint="eastAsia" w:ascii="仿宋" w:hAnsi="仿宋" w:eastAsia="仿宋" w:cs="宋体"/>
          <w:b/>
          <w:bCs/>
          <w:sz w:val="24"/>
          <w:szCs w:val="24"/>
          <w:lang w:val="zh-CN"/>
        </w:rPr>
        <w:t>2</w:t>
      </w:r>
      <w:r>
        <w:rPr>
          <w:rFonts w:ascii="仿宋" w:hAnsi="仿宋" w:eastAsia="仿宋" w:cs="宋体"/>
          <w:b/>
          <w:bCs/>
          <w:sz w:val="24"/>
          <w:szCs w:val="24"/>
          <w:lang w:val="zh-CN"/>
        </w:rPr>
        <w:t>.</w:t>
      </w:r>
      <w:r>
        <w:rPr>
          <w:rFonts w:hint="eastAsia" w:ascii="仿宋" w:hAnsi="仿宋" w:eastAsia="仿宋" w:cs="宋体"/>
          <w:b/>
          <w:bCs/>
          <w:sz w:val="24"/>
          <w:szCs w:val="24"/>
        </w:rPr>
        <w:t>2驻场运维人员</w:t>
      </w:r>
    </w:p>
    <w:p>
      <w:pPr>
        <w:pStyle w:val="20"/>
        <w:adjustRightInd w:val="0"/>
        <w:spacing w:line="360" w:lineRule="auto"/>
        <w:ind w:firstLine="480" w:firstLineChars="0"/>
        <w:contextualSpacing/>
        <w:jc w:val="both"/>
        <w:rPr>
          <w:rFonts w:ascii="仿宋" w:hAnsi="仿宋" w:eastAsia="仿宋" w:cs="宋体"/>
          <w:sz w:val="24"/>
          <w:szCs w:val="24"/>
          <w:lang w:val="zh-CN"/>
        </w:rPr>
      </w:pPr>
      <w:r>
        <w:rPr>
          <w:rFonts w:hint="eastAsia" w:ascii="仿宋" w:hAnsi="仿宋" w:eastAsia="仿宋" w:cs="宋体"/>
          <w:sz w:val="24"/>
          <w:szCs w:val="24"/>
          <w:lang w:val="zh-CN"/>
        </w:rPr>
        <w:t>驻场运维人员4人，每人均具有持特种作业操作证（高压操作）（提供证书复印件）</w:t>
      </w:r>
      <w:r>
        <w:rPr>
          <w:rFonts w:hint="eastAsia" w:ascii="仿宋" w:hAnsi="仿宋" w:eastAsia="仿宋" w:cs="宋体"/>
          <w:sz w:val="24"/>
          <w:szCs w:val="24"/>
        </w:rPr>
        <w:t>。</w:t>
      </w:r>
    </w:p>
    <w:p>
      <w:pPr>
        <w:pStyle w:val="20"/>
        <w:adjustRightInd w:val="0"/>
        <w:spacing w:line="360" w:lineRule="auto"/>
        <w:ind w:firstLine="0" w:firstLineChars="0"/>
        <w:contextualSpacing/>
        <w:jc w:val="both"/>
        <w:rPr>
          <w:rFonts w:ascii="仿宋" w:hAnsi="仿宋" w:eastAsia="仿宋" w:cs="宋体"/>
          <w:b/>
          <w:bCs/>
          <w:sz w:val="24"/>
          <w:szCs w:val="24"/>
        </w:rPr>
      </w:pPr>
      <w:r>
        <w:rPr>
          <w:rFonts w:hint="eastAsia" w:ascii="仿宋" w:hAnsi="仿宋" w:eastAsia="仿宋" w:cs="宋体"/>
          <w:b/>
          <w:bCs/>
          <w:sz w:val="24"/>
          <w:szCs w:val="24"/>
          <w:lang w:val="zh-CN"/>
        </w:rPr>
        <w:t>2</w:t>
      </w:r>
      <w:r>
        <w:rPr>
          <w:rFonts w:ascii="仿宋" w:hAnsi="仿宋" w:eastAsia="仿宋" w:cs="宋体"/>
          <w:b/>
          <w:bCs/>
          <w:sz w:val="24"/>
          <w:szCs w:val="24"/>
          <w:lang w:val="zh-CN"/>
        </w:rPr>
        <w:t>.</w:t>
      </w:r>
      <w:r>
        <w:rPr>
          <w:rFonts w:hint="eastAsia" w:ascii="仿宋" w:hAnsi="仿宋" w:eastAsia="仿宋" w:cs="宋体"/>
          <w:b/>
          <w:bCs/>
          <w:sz w:val="24"/>
          <w:szCs w:val="24"/>
        </w:rPr>
        <w:t>3 运维方式</w:t>
      </w:r>
    </w:p>
    <w:p>
      <w:pPr>
        <w:pStyle w:val="20"/>
        <w:adjustRightInd w:val="0"/>
        <w:spacing w:line="360" w:lineRule="auto"/>
        <w:ind w:firstLine="480"/>
        <w:contextualSpacing/>
        <w:jc w:val="both"/>
        <w:rPr>
          <w:rFonts w:ascii="仿宋" w:hAnsi="仿宋" w:eastAsia="仿宋" w:cs="宋体"/>
          <w:sz w:val="24"/>
          <w:szCs w:val="24"/>
          <w:lang w:val="zh-CN"/>
        </w:rPr>
      </w:pPr>
      <w:r>
        <w:rPr>
          <w:rFonts w:hint="eastAsia" w:ascii="仿宋" w:hAnsi="仿宋" w:eastAsia="仿宋" w:cs="宋体"/>
          <w:sz w:val="24"/>
          <w:szCs w:val="24"/>
          <w:lang w:val="zh-CN"/>
        </w:rPr>
        <w:t>为满足高压配电室值守要求，采用医院部分职工加社会化专业公司共同管理的方式，分为3个运维班组，投标人派</w:t>
      </w:r>
      <w:r>
        <w:rPr>
          <w:rFonts w:ascii="仿宋" w:hAnsi="仿宋" w:eastAsia="仿宋" w:cs="宋体"/>
          <w:sz w:val="24"/>
          <w:szCs w:val="24"/>
          <w:lang w:val="zh-CN"/>
        </w:rPr>
        <w:t>4</w:t>
      </w:r>
      <w:r>
        <w:rPr>
          <w:rFonts w:hint="eastAsia" w:ascii="仿宋" w:hAnsi="仿宋" w:eastAsia="仿宋" w:cs="宋体"/>
          <w:sz w:val="24"/>
          <w:szCs w:val="24"/>
          <w:lang w:val="zh-CN"/>
        </w:rPr>
        <w:t>名专业人员担任值班长，保留高压配电室职工3人，担任值班员，双方在采购人领导下，配合完成总配电室值守和紧急事故处理。</w:t>
      </w:r>
    </w:p>
    <w:p>
      <w:pPr>
        <w:pStyle w:val="20"/>
        <w:adjustRightInd w:val="0"/>
        <w:spacing w:line="360" w:lineRule="auto"/>
        <w:ind w:firstLine="0" w:firstLineChars="0"/>
        <w:contextualSpacing/>
        <w:jc w:val="both"/>
        <w:rPr>
          <w:rFonts w:ascii="仿宋" w:hAnsi="仿宋" w:eastAsia="仿宋" w:cs="宋体"/>
          <w:b/>
          <w:sz w:val="24"/>
          <w:szCs w:val="24"/>
          <w:lang w:eastAsia="zh-Hans"/>
        </w:rPr>
      </w:pPr>
      <w:r>
        <w:rPr>
          <w:rFonts w:hint="eastAsia" w:ascii="仿宋" w:hAnsi="仿宋" w:eastAsia="仿宋" w:cs="宋体"/>
          <w:b/>
          <w:sz w:val="24"/>
          <w:szCs w:val="24"/>
        </w:rPr>
        <w:t>3、</w:t>
      </w:r>
      <w:r>
        <w:rPr>
          <w:rFonts w:hint="eastAsia" w:ascii="仿宋" w:hAnsi="仿宋" w:eastAsia="仿宋" w:cs="宋体"/>
          <w:b/>
          <w:sz w:val="24"/>
          <w:szCs w:val="24"/>
          <w:lang w:eastAsia="zh-Hans"/>
        </w:rPr>
        <w:t>工作内容</w:t>
      </w:r>
    </w:p>
    <w:p>
      <w:pPr>
        <w:pStyle w:val="20"/>
        <w:adjustRightInd w:val="0"/>
        <w:spacing w:line="360" w:lineRule="auto"/>
        <w:ind w:firstLine="0" w:firstLineChars="0"/>
        <w:contextualSpacing/>
        <w:jc w:val="both"/>
        <w:rPr>
          <w:rFonts w:ascii="仿宋" w:hAnsi="仿宋" w:eastAsia="仿宋" w:cs="宋体"/>
          <w:b/>
          <w:sz w:val="24"/>
          <w:szCs w:val="24"/>
        </w:rPr>
      </w:pPr>
      <w:r>
        <w:rPr>
          <w:rFonts w:hint="eastAsia" w:ascii="仿宋" w:hAnsi="仿宋" w:eastAsia="仿宋" w:cs="宋体"/>
          <w:b/>
          <w:sz w:val="24"/>
          <w:szCs w:val="24"/>
        </w:rPr>
        <w:t>3.1配电室日常工作</w:t>
      </w:r>
    </w:p>
    <w:bookmarkEnd w:id="8"/>
    <w:bookmarkEnd w:id="9"/>
    <w:bookmarkEnd w:id="10"/>
    <w:bookmarkEnd w:id="11"/>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1）负责配电室日常运行和紧急事故处理、配电室人员管理等工作；</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2）负责配电室内备、配件及工具的保管工作；</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3）按国家相关规定，做好配电室代运行管理设备的定期巡视和特巡检查；定期巡视2小时1次，运行数据记录2小时1次，特殊情况进行特巡。投标人应制作巡视和检查日常记录，定期向采购人汇报。</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4）负责配电室运行设备的异常及事故处理，保证设备安全运行；</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5）负责变配电室内日常保洁卫生工作；</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6）负责按有关规程规定对配电室高压设备提出定期年清扫及预防性试验工作计划，上报院方，并做好停发电的倒闸操作，保证安全；</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7）对医院配电室设备运行状况，运维管理体系、运行维护过程中存在的问题以及医院各层工作人员对运维情况管理诉求进行一次全面调研与评估，主要针对用电设备、用电安全、用电环境等进行排查，以达到医院运行维护管理期望水平；</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8）投标人负责组织节假日及重大政治活动的保电任务；投标人负责组织对电力故障的抢修救援；投标人负责组织对重大电力故障和事故的专家会商；</w:t>
      </w:r>
    </w:p>
    <w:p>
      <w:pPr>
        <w:pStyle w:val="20"/>
        <w:adjustRightInd w:val="0"/>
        <w:spacing w:line="360" w:lineRule="auto"/>
        <w:ind w:firstLine="480"/>
        <w:contextualSpacing/>
        <w:jc w:val="both"/>
        <w:rPr>
          <w:rFonts w:ascii="仿宋" w:hAnsi="仿宋" w:eastAsia="仿宋" w:cs="宋体"/>
          <w:sz w:val="24"/>
          <w:szCs w:val="24"/>
        </w:rPr>
      </w:pPr>
      <w:r>
        <w:rPr>
          <w:rFonts w:hint="eastAsia" w:ascii="仿宋" w:hAnsi="仿宋" w:eastAsia="仿宋" w:cs="宋体"/>
          <w:sz w:val="24"/>
          <w:szCs w:val="24"/>
        </w:rPr>
        <w:t>9）</w:t>
      </w:r>
      <w:r>
        <w:rPr>
          <w:rFonts w:hint="eastAsia" w:ascii="仿宋" w:hAnsi="仿宋" w:eastAsia="仿宋" w:cs="宋体"/>
          <w:sz w:val="24"/>
          <w:szCs w:val="24"/>
          <w:lang w:val="zh-CN"/>
        </w:rPr>
        <w:t>为符合电力部门规定，投标人要安排公司派遣员工与医院高压配电室职工完成值班，分成三班，每班</w:t>
      </w:r>
      <w:r>
        <w:rPr>
          <w:rFonts w:hint="eastAsia" w:ascii="仿宋" w:hAnsi="仿宋" w:eastAsia="仿宋" w:cs="宋体"/>
          <w:sz w:val="24"/>
          <w:szCs w:val="24"/>
        </w:rPr>
        <w:t>2</w:t>
      </w:r>
      <w:r>
        <w:rPr>
          <w:rFonts w:hint="eastAsia" w:ascii="仿宋" w:hAnsi="仿宋" w:eastAsia="仿宋" w:cs="宋体"/>
          <w:sz w:val="24"/>
          <w:szCs w:val="24"/>
          <w:lang w:val="zh-CN"/>
        </w:rPr>
        <w:t>人，24小时值班，在岗期间不允许脱岗；</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10）检查配电室设备告警、保护功能是否正常；</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11）检查配电室设备各信号指示灯工作是否正常；</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12）检查配电室设备元器件外观，是否有机械性损坏；</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13）检查配电室设备运行温度是否异常；</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14）检查配电室设备内部是否落有导电性的污垢或灰尘，堆积的灰尘是否影响了散热；</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15）检查配电室消防、空调、照明设施是否完好。</w:t>
      </w:r>
    </w:p>
    <w:p>
      <w:pPr>
        <w:pStyle w:val="20"/>
        <w:adjustRightInd w:val="0"/>
        <w:spacing w:line="360" w:lineRule="auto"/>
        <w:ind w:firstLine="0" w:firstLineChars="0"/>
        <w:contextualSpacing/>
        <w:rPr>
          <w:rFonts w:ascii="仿宋" w:hAnsi="仿宋" w:eastAsia="仿宋" w:cs="宋体"/>
          <w:b/>
          <w:bCs/>
          <w:sz w:val="24"/>
          <w:szCs w:val="24"/>
        </w:rPr>
      </w:pPr>
      <w:r>
        <w:rPr>
          <w:rFonts w:hint="eastAsia" w:ascii="仿宋" w:hAnsi="仿宋" w:eastAsia="仿宋" w:cs="宋体"/>
          <w:b/>
          <w:bCs/>
          <w:sz w:val="24"/>
          <w:szCs w:val="24"/>
        </w:rPr>
        <w:t>3.2月检查</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对设备进行巡检1次/月，巡检内容（不少于）如下：</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1）环境检查：房间的清洁程度，设备四周及上面是否有堆积物，设备上方是否有水管，是否所有金属柜、架都有地线连接。</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2）房间的温度：电池房（小于25度）、UPS房（小于40度）。</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3）输入滤波器检查：</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电感、电容、机柜的清洁和连接紧密程度的检查（过热、氧化）</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4）UPS工作情况的检查：</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整流器、充电器、电抗器连接的紧密程度（过热、氧化）；信号线连接的紧密情况；极板附件的情况；充电电压的测量；直流电压正常。</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风扇、机柜的清洁；直流电容情况；直流电容上次更换的日期。</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逆变器电压的测量：V1，V2，V3，U1-2，U2-3，U3-1。</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逆变器电流的控制：每个逆变器支路的电流波形。</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输出电压的测量：V1，V2，V3，U1-2，U2-3，U3-1。</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输出电流的测量：I1，I2，I3。</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5）电池的检查</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电池房温度的检查；电池绝缘情况；电池资料；调试日期；电池单体的电压；并联组数；串联只数；后备时间（功率因数0.8的负载）；浮充情况下电池电压的测量；录每块电池的浮充电压；电池组放电测试。</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6）静态开关的检查</w:t>
      </w:r>
    </w:p>
    <w:p>
      <w:pPr>
        <w:pStyle w:val="20"/>
        <w:adjustRightInd w:val="0"/>
        <w:spacing w:line="360" w:lineRule="auto"/>
        <w:ind w:firstLine="720" w:firstLineChars="300"/>
        <w:contextualSpacing/>
        <w:rPr>
          <w:rFonts w:ascii="仿宋" w:hAnsi="仿宋" w:eastAsia="仿宋" w:cs="宋体"/>
          <w:sz w:val="24"/>
          <w:szCs w:val="24"/>
        </w:rPr>
      </w:pPr>
      <w:r>
        <w:rPr>
          <w:rFonts w:hint="eastAsia" w:ascii="仿宋" w:hAnsi="仿宋" w:eastAsia="仿宋" w:cs="宋体"/>
          <w:sz w:val="24"/>
          <w:szCs w:val="24"/>
        </w:rPr>
        <w:t>连接的紧密程度（过热、氧化）；信号线连接的紧密情况。</w:t>
      </w:r>
    </w:p>
    <w:p>
      <w:pPr>
        <w:spacing w:line="360" w:lineRule="auto"/>
        <w:ind w:firstLine="480" w:firstLineChars="200"/>
        <w:contextualSpacing/>
        <w:rPr>
          <w:rFonts w:ascii="仿宋" w:hAnsi="仿宋" w:eastAsia="仿宋" w:cs="宋体"/>
          <w:sz w:val="24"/>
        </w:rPr>
      </w:pPr>
      <w:r>
        <w:rPr>
          <w:rFonts w:hint="eastAsia" w:ascii="仿宋" w:hAnsi="仿宋" w:eastAsia="仿宋" w:cs="宋体"/>
          <w:sz w:val="24"/>
        </w:rPr>
        <w:t>7）应急柴发机组</w:t>
      </w:r>
    </w:p>
    <w:p>
      <w:pPr>
        <w:spacing w:line="360" w:lineRule="auto"/>
        <w:ind w:firstLine="720" w:firstLineChars="300"/>
        <w:contextualSpacing/>
        <w:rPr>
          <w:rFonts w:ascii="仿宋" w:hAnsi="仿宋" w:eastAsia="仿宋" w:cs="宋体"/>
          <w:sz w:val="24"/>
        </w:rPr>
      </w:pPr>
      <w:r>
        <w:rPr>
          <w:rFonts w:hint="eastAsia" w:ascii="仿宋" w:hAnsi="仿宋" w:eastAsia="仿宋" w:cs="宋体"/>
          <w:sz w:val="24"/>
        </w:rPr>
        <w:t>每月对应急发电机组进行1次空载开机运行并做好运行记录。</w:t>
      </w:r>
    </w:p>
    <w:p>
      <w:pPr>
        <w:pStyle w:val="20"/>
        <w:adjustRightInd w:val="0"/>
        <w:spacing w:line="360" w:lineRule="auto"/>
        <w:ind w:firstLine="0" w:firstLineChars="0"/>
        <w:contextualSpacing/>
        <w:rPr>
          <w:rFonts w:ascii="仿宋" w:hAnsi="仿宋" w:eastAsia="仿宋" w:cs="宋体"/>
          <w:b/>
          <w:bCs/>
          <w:sz w:val="24"/>
          <w:szCs w:val="24"/>
        </w:rPr>
      </w:pPr>
      <w:r>
        <w:rPr>
          <w:rFonts w:hint="eastAsia" w:ascii="仿宋" w:hAnsi="仿宋" w:eastAsia="仿宋" w:cs="宋体"/>
          <w:b/>
          <w:bCs/>
          <w:sz w:val="24"/>
          <w:szCs w:val="24"/>
        </w:rPr>
        <w:t>3.3季检查</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对设备进行巡检1次/季，巡检内容（不少于）如下：</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3.3.1专业测量仪器和专业设备</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UPS专业的测量仪器检测、UPS的输入输出电压，电池的内阻和电压（万用表、电池内阻测试仪、）；UPS设备专业除尘设备和工具（鼓风机、棘轮扳手）；</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UPS维护保养人员须具备专业的知识和专业技能。</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3.3.2检查内容</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1）电池的保养：</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对电池组中的电池做静态,动态测试；对电池组的联接进行检查。</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2）电池在UPS主机上放电测试</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3）主机保养</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A. 检查设备的运行状况</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B. 对需要进行清扫的机器进行除尘清扫</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C. 对设备内主要部件进行静态测试</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D. 检测机内易损单元 (逆变器, 整流器, 静态开关)</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E. 检查设备的输入, 输出联接端子是否牢固</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 xml:space="preserve">F. 恢复设备运行, 检测设备的输出主要性能指标 </w:t>
      </w:r>
    </w:p>
    <w:p>
      <w:pPr>
        <w:pStyle w:val="20"/>
        <w:adjustRightInd w:val="0"/>
        <w:spacing w:line="360" w:lineRule="auto"/>
        <w:ind w:firstLine="0" w:firstLineChars="0"/>
        <w:contextualSpacing/>
        <w:rPr>
          <w:rFonts w:ascii="仿宋" w:hAnsi="仿宋" w:eastAsia="仿宋" w:cs="宋体"/>
          <w:b/>
          <w:bCs/>
          <w:sz w:val="24"/>
          <w:szCs w:val="24"/>
        </w:rPr>
      </w:pPr>
      <w:r>
        <w:rPr>
          <w:rFonts w:hint="eastAsia" w:ascii="仿宋" w:hAnsi="仿宋" w:eastAsia="仿宋" w:cs="宋体"/>
          <w:b/>
          <w:bCs/>
          <w:sz w:val="24"/>
          <w:szCs w:val="24"/>
        </w:rPr>
        <w:t>3.4年度维保</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每年度最后一个月内进行，与月度维保工作同时进行。</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包含月度维保内容；观察UPS电源可目测器件物理外观工作状况；</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蓄电池维护性放电，激活蓄电池，检查电池是否还能继续使用，</w:t>
      </w:r>
    </w:p>
    <w:p>
      <w:pPr>
        <w:pStyle w:val="20"/>
        <w:adjustRightInd w:val="0"/>
        <w:spacing w:line="360" w:lineRule="auto"/>
        <w:ind w:firstLine="480"/>
        <w:contextualSpacing/>
        <w:rPr>
          <w:rFonts w:ascii="仿宋" w:hAnsi="仿宋" w:eastAsia="仿宋" w:cs="宋体"/>
          <w:sz w:val="24"/>
          <w:szCs w:val="24"/>
        </w:rPr>
      </w:pPr>
      <w:r>
        <w:rPr>
          <w:rFonts w:hint="eastAsia" w:ascii="仿宋" w:hAnsi="仿宋" w:eastAsia="仿宋" w:cs="宋体"/>
          <w:sz w:val="24"/>
          <w:szCs w:val="24"/>
        </w:rPr>
        <w:t>并记录放电时间、放电时的负载电流、放电前的直流电压、放电结束时的直流电压。</w:t>
      </w:r>
    </w:p>
    <w:p>
      <w:pPr>
        <w:pStyle w:val="13"/>
        <w:spacing w:after="0" w:line="360" w:lineRule="auto"/>
        <w:ind w:left="0" w:leftChars="0" w:firstLine="480"/>
        <w:contextualSpacing/>
        <w:rPr>
          <w:rFonts w:ascii="仿宋" w:hAnsi="仿宋" w:eastAsia="仿宋" w:cs="宋体"/>
          <w:szCs w:val="24"/>
        </w:rPr>
      </w:pPr>
      <w:r>
        <w:rPr>
          <w:rFonts w:hint="eastAsia" w:ascii="仿宋" w:hAnsi="仿宋" w:eastAsia="仿宋" w:cs="宋体"/>
          <w:szCs w:val="24"/>
        </w:rPr>
        <w:t>应急发电机组进行年度保养包括但不限于更换润滑油、冷却液、机油滤清器等。</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51</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51</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5D9D153B"/>
    <w:rsid w:val="6DA01CBF"/>
    <w:rsid w:val="6E806056"/>
    <w:rsid w:val="730673BB"/>
    <w:rsid w:val="774638A7"/>
    <w:rsid w:val="77AF04E4"/>
    <w:rsid w:val="7D451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招标文件正文"/>
    <w:basedOn w:val="1"/>
    <w:qFormat/>
    <w:uiPriority w:val="0"/>
    <w:pPr>
      <w:spacing w:line="300" w:lineRule="auto"/>
      <w:ind w:firstLine="200" w:firstLineChars="200"/>
      <w:jc w:val="left"/>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2024-08-27T07:53:12Z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