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首都儿科研究所附属儿重医院2024下半年打印耗材类供货服务</w:t>
      </w:r>
      <w:bookmarkStart w:id="2" w:name="_GoBack"/>
      <w:bookmarkEnd w:id="2"/>
      <w:r>
        <w:rPr>
          <w:rFonts w:hint="eastAsia"/>
          <w:b/>
          <w:bCs/>
          <w:sz w:val="32"/>
          <w:szCs w:val="40"/>
          <w:lang w:val="en-US" w:eastAsia="zh-CN"/>
        </w:rPr>
        <w:t>项目采购需求</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5"/>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2024下半年打印耗材类供货服务，投标人应根据招标文件所提出的技术规格和服务要求，综合考虑前来投标。投标人应以技术先进的设备、优良的服务和优惠的价格，充分显示自己的竞争实力。</w:t>
      </w:r>
    </w:p>
    <w:p>
      <w:pPr>
        <w:pStyle w:val="15"/>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5"/>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5"/>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本项目不适用。</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5"/>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41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582"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27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9"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2412" w:type="pct"/>
            <w:shd w:val="clear" w:color="auto" w:fill="auto"/>
            <w:vAlign w:val="center"/>
          </w:tcPr>
          <w:p>
            <w:pPr>
              <w:jc w:val="center"/>
              <w:rPr>
                <w:rFonts w:ascii="仿宋" w:hAnsi="仿宋" w:eastAsia="仿宋"/>
                <w:sz w:val="24"/>
              </w:rPr>
            </w:pPr>
            <w:r>
              <w:rPr>
                <w:rFonts w:hint="eastAsia" w:ascii="仿宋" w:hAnsi="仿宋" w:eastAsia="仿宋"/>
                <w:sz w:val="24"/>
              </w:rPr>
              <w:t>首都儿科研究所附属儿重医院2024下半年打印耗材类供货服务</w:t>
            </w:r>
          </w:p>
        </w:tc>
        <w:tc>
          <w:tcPr>
            <w:tcW w:w="582"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1277"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5"/>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采购项目（标的）交付的时间（服务期限）：自合同签订之日起至2024年12月31日。</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2、采购项目（标的）交付的地点（服务地点）：首都儿科研究所附属儿童医院指定地点。</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6"/>
        <w:spacing w:before="156" w:beforeLines="50" w:line="360" w:lineRule="auto"/>
        <w:ind w:firstLine="480" w:firstLineChars="200"/>
        <w:rPr>
          <w:rFonts w:hint="default" w:ascii="仿宋" w:hAnsi="仿宋" w:eastAsia="仿宋"/>
          <w:sz w:val="24"/>
          <w:szCs w:val="24"/>
        </w:rPr>
      </w:pPr>
      <w:r>
        <w:rPr>
          <w:rFonts w:ascii="仿宋" w:hAnsi="仿宋" w:eastAsia="仿宋"/>
          <w:bCs/>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w:t>
      </w:r>
      <w:r>
        <w:rPr>
          <w:rFonts w:hint="eastAsia" w:ascii="仿宋" w:hAnsi="仿宋" w:eastAsia="仿宋" w:cs="Arial"/>
          <w:sz w:val="24"/>
        </w:rPr>
        <w:t>自合同签订之日起至2024年12月31日</w:t>
      </w:r>
      <w:r>
        <w:rPr>
          <w:rFonts w:hint="eastAsia" w:ascii="仿宋" w:hAnsi="仿宋" w:eastAsia="仿宋"/>
          <w:sz w:val="24"/>
        </w:rPr>
        <w:t>。</w:t>
      </w:r>
    </w:p>
    <w:p>
      <w:pPr>
        <w:pStyle w:val="15"/>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6"/>
        <w:spacing w:before="156" w:beforeLines="50" w:line="360" w:lineRule="auto"/>
        <w:ind w:firstLine="480" w:firstLineChars="200"/>
        <w:rPr>
          <w:rStyle w:val="14"/>
          <w:rFonts w:hint="default" w:ascii="Calibri" w:hAnsi="Calibri"/>
          <w:color w:val="FF0000"/>
        </w:rPr>
      </w:pPr>
      <w:r>
        <w:rPr>
          <w:rFonts w:ascii="仿宋" w:hAnsi="仿宋" w:eastAsia="仿宋" w:cs="宋体"/>
          <w:sz w:val="24"/>
        </w:rPr>
        <w:t>详见合同条款。</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bookmarkStart w:id="0" w:name="_Toc122107226"/>
      <w:bookmarkStart w:id="1" w:name="_Toc121429422"/>
      <w:r>
        <w:rPr>
          <w:rFonts w:hint="eastAsia" w:ascii="仿宋" w:hAnsi="仿宋" w:eastAsia="仿宋"/>
          <w:sz w:val="24"/>
        </w:rPr>
        <w:t>投标人需提供需求理解及服务质量保证措施、供货计划及保证措施、项目安装及实施方案、售后服务能力、应急预案等。</w:t>
      </w:r>
      <w:bookmarkEnd w:id="0"/>
      <w:bookmarkEnd w:id="1"/>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首都儿科研究所附属儿重医院2024下半年打印耗材类供货服务</w:t>
      </w:r>
    </w:p>
    <w:p>
      <w:pPr>
        <w:spacing w:line="360" w:lineRule="auto"/>
        <w:contextualSpacing/>
        <w:jc w:val="left"/>
        <w:rPr>
          <w:rFonts w:ascii="仿宋" w:hAnsi="仿宋" w:eastAsia="仿宋"/>
          <w:b/>
          <w:sz w:val="24"/>
        </w:rPr>
      </w:pPr>
      <w:r>
        <w:rPr>
          <w:rFonts w:hint="eastAsia" w:ascii="仿宋" w:hAnsi="仿宋" w:eastAsia="仿宋"/>
          <w:b/>
          <w:sz w:val="24"/>
        </w:rPr>
        <w:t>一、服务要求</w:t>
      </w:r>
    </w:p>
    <w:p>
      <w:pPr>
        <w:spacing w:line="360" w:lineRule="auto"/>
        <w:contextualSpacing/>
        <w:rPr>
          <w:rFonts w:ascii="仿宋" w:hAnsi="仿宋" w:eastAsia="仿宋"/>
          <w:sz w:val="24"/>
        </w:rPr>
      </w:pPr>
      <w:r>
        <w:rPr>
          <w:rFonts w:hint="eastAsia" w:ascii="仿宋" w:hAnsi="仿宋" w:eastAsia="仿宋"/>
          <w:sz w:val="24"/>
        </w:rPr>
        <w:t>1、投标人能够提供需求理解及服务质量保证措施，需求分析充分、透彻，对需求响应程度高，服务质量保证措施强劲有力，科学合理，有效性强。</w:t>
      </w:r>
    </w:p>
    <w:p>
      <w:pPr>
        <w:spacing w:line="360" w:lineRule="auto"/>
        <w:contextualSpacing/>
        <w:rPr>
          <w:rFonts w:ascii="仿宋" w:hAnsi="仿宋" w:eastAsia="仿宋"/>
          <w:sz w:val="24"/>
        </w:rPr>
      </w:pPr>
      <w:r>
        <w:rPr>
          <w:rFonts w:hint="eastAsia" w:ascii="仿宋" w:hAnsi="仿宋" w:eastAsia="仿宋"/>
          <w:sz w:val="24"/>
        </w:rPr>
        <w:t>2、投标人能够提供供货计划及保证措施，具备长期稳定的货源渠道,供货计划科学合理、具有规范的供应管理规范化制度，保障措施强劲有力。</w:t>
      </w:r>
    </w:p>
    <w:p>
      <w:pPr>
        <w:spacing w:line="360" w:lineRule="auto"/>
        <w:contextualSpacing/>
        <w:rPr>
          <w:rFonts w:ascii="仿宋" w:hAnsi="仿宋" w:eastAsia="仿宋"/>
          <w:sz w:val="24"/>
        </w:rPr>
      </w:pPr>
      <w:r>
        <w:rPr>
          <w:rFonts w:hint="eastAsia" w:ascii="仿宋" w:hAnsi="仿宋" w:eastAsia="仿宋"/>
          <w:sz w:val="24"/>
        </w:rPr>
        <w:t>3、投标人能够提供项目安装及实施方案，方案详细完善，配备专人负责与采购人对接。供货周期、响应时间和安装任务等关键工作安排合理。</w:t>
      </w:r>
    </w:p>
    <w:p>
      <w:pPr>
        <w:spacing w:line="360" w:lineRule="auto"/>
        <w:contextualSpacing/>
        <w:rPr>
          <w:rFonts w:ascii="仿宋" w:hAnsi="仿宋" w:eastAsia="仿宋"/>
          <w:sz w:val="24"/>
        </w:rPr>
      </w:pPr>
      <w:r>
        <w:rPr>
          <w:rFonts w:hint="eastAsia" w:ascii="仿宋" w:hAnsi="仿宋" w:eastAsia="仿宋"/>
          <w:sz w:val="24"/>
        </w:rPr>
        <w:t>4、标人能够提供应急预案，预案详细、合理，细致齐全，针对性可行性强，能及时实施应对措施。</w:t>
      </w:r>
    </w:p>
    <w:p>
      <w:pPr>
        <w:spacing w:line="360" w:lineRule="auto"/>
        <w:contextualSpacing/>
        <w:rPr>
          <w:rFonts w:ascii="仿宋" w:hAnsi="仿宋" w:eastAsia="仿宋"/>
          <w:sz w:val="24"/>
        </w:rPr>
      </w:pPr>
      <w:r>
        <w:rPr>
          <w:rFonts w:hint="eastAsia" w:ascii="仿宋" w:hAnsi="仿宋" w:eastAsia="仿宋"/>
          <w:sz w:val="24"/>
        </w:rPr>
        <w:t>5、投标人须保证所提供的打印耗材类产品均为原厂正品，不能提供假冒伪劣产品。</w:t>
      </w:r>
    </w:p>
    <w:p>
      <w:pPr>
        <w:spacing w:line="360" w:lineRule="auto"/>
        <w:contextualSpacing/>
        <w:rPr>
          <w:rFonts w:ascii="仿宋" w:hAnsi="仿宋" w:eastAsia="仿宋"/>
          <w:sz w:val="24"/>
        </w:rPr>
      </w:pPr>
      <w:r>
        <w:rPr>
          <w:rFonts w:hint="eastAsia" w:ascii="仿宋" w:hAnsi="仿宋" w:eastAsia="仿宋"/>
          <w:sz w:val="24"/>
        </w:rPr>
        <w:t>6、投标人须保证一周之内供货，不能影响客户使用。</w:t>
      </w:r>
    </w:p>
    <w:p>
      <w:pPr>
        <w:spacing w:line="360" w:lineRule="auto"/>
        <w:contextualSpacing/>
        <w:rPr>
          <w:rFonts w:ascii="仿宋" w:hAnsi="仿宋" w:eastAsia="仿宋"/>
          <w:sz w:val="24"/>
        </w:rPr>
      </w:pPr>
      <w:r>
        <w:rPr>
          <w:rFonts w:hint="eastAsia" w:ascii="仿宋" w:hAnsi="仿宋" w:eastAsia="仿宋"/>
          <w:sz w:val="24"/>
        </w:rPr>
        <w:t>7、投标人须对使用科室进行打印耗材使用及维护方面的相关培训和指导，保证打印机耗材的正常使用。</w:t>
      </w:r>
    </w:p>
    <w:p>
      <w:pPr>
        <w:spacing w:line="360" w:lineRule="auto"/>
        <w:contextualSpacing/>
        <w:rPr>
          <w:rFonts w:ascii="仿宋" w:hAnsi="仿宋" w:eastAsia="仿宋"/>
          <w:sz w:val="24"/>
        </w:rPr>
      </w:pPr>
      <w:r>
        <w:rPr>
          <w:rFonts w:hint="eastAsia" w:ascii="仿宋" w:hAnsi="仿宋" w:eastAsia="仿宋"/>
          <w:b/>
          <w:sz w:val="24"/>
        </w:rPr>
        <w:t>二、售后服务：</w:t>
      </w:r>
      <w:r>
        <w:rPr>
          <w:rFonts w:ascii="仿宋" w:hAnsi="仿宋" w:eastAsia="仿宋"/>
          <w:b/>
          <w:sz w:val="24"/>
        </w:rPr>
        <w:br w:type="textWrapping"/>
      </w:r>
      <w:r>
        <w:rPr>
          <w:rFonts w:hint="eastAsia" w:ascii="仿宋" w:hAnsi="仿宋" w:eastAsia="仿宋"/>
          <w:sz w:val="24"/>
        </w:rPr>
        <w:t>1、若在使用办公用品的过程中发现货物存在质量缺陷、冒牌等问题时，投标人应当在</w:t>
      </w:r>
      <w:r>
        <w:rPr>
          <w:rFonts w:ascii="仿宋" w:hAnsi="仿宋" w:eastAsia="仿宋"/>
          <w:sz w:val="24"/>
        </w:rPr>
        <w:t>24</w:t>
      </w:r>
      <w:r>
        <w:rPr>
          <w:rFonts w:hint="eastAsia" w:ascii="仿宋" w:hAnsi="仿宋" w:eastAsia="仿宋"/>
          <w:sz w:val="24"/>
        </w:rPr>
        <w:t>小时内完成维修或者更换。</w:t>
      </w:r>
    </w:p>
    <w:p>
      <w:pPr>
        <w:spacing w:line="360" w:lineRule="auto"/>
        <w:contextualSpacing/>
        <w:rPr>
          <w:rFonts w:ascii="仿宋" w:hAnsi="仿宋" w:eastAsia="仿宋"/>
          <w:sz w:val="24"/>
        </w:rPr>
      </w:pPr>
      <w:r>
        <w:rPr>
          <w:rFonts w:hint="eastAsia" w:ascii="仿宋" w:hAnsi="仿宋" w:eastAsia="仿宋"/>
          <w:sz w:val="24"/>
        </w:rPr>
        <w:t>2、投标人须保证具有良好的售后服务，能够及时解决打印耗材出现的日常问题，对出现故障的机器进行及时维修。</w:t>
      </w:r>
    </w:p>
    <w:p>
      <w:pPr>
        <w:spacing w:line="360" w:lineRule="auto"/>
        <w:contextualSpacing/>
        <w:rPr>
          <w:rFonts w:ascii="仿宋" w:hAnsi="仿宋" w:eastAsia="仿宋"/>
          <w:sz w:val="24"/>
        </w:rPr>
      </w:pPr>
      <w:r>
        <w:rPr>
          <w:rFonts w:hint="eastAsia" w:ascii="仿宋" w:hAnsi="仿宋" w:eastAsia="仿宋"/>
          <w:sz w:val="24"/>
        </w:rPr>
        <w:t>3、三个月内无理由退换货：在商品外包装完整、无任何损坏的情况下，投标人无条件免费为采购人对三个月内的订单进行退换，并承诺在接到申请的一周内完成；</w:t>
      </w:r>
    </w:p>
    <w:p>
      <w:pPr>
        <w:spacing w:line="360" w:lineRule="auto"/>
        <w:contextualSpacing/>
        <w:rPr>
          <w:rFonts w:ascii="仿宋" w:hAnsi="仿宋" w:eastAsia="仿宋"/>
          <w:sz w:val="24"/>
        </w:rPr>
      </w:pPr>
      <w:r>
        <w:rPr>
          <w:rFonts w:hint="eastAsia" w:ascii="仿宋" w:hAnsi="仿宋" w:eastAsia="仿宋"/>
          <w:sz w:val="24"/>
        </w:rPr>
        <w:t>4、如提供的货物发现有破损、规格、型号不符或其它原因无法使用的，投标人必须在接到采购人通知后12小时内予以更换，并承担更换的一切费用。</w:t>
      </w:r>
    </w:p>
    <w:p>
      <w:pPr>
        <w:spacing w:line="360" w:lineRule="auto"/>
        <w:contextualSpacing/>
        <w:rPr>
          <w:rFonts w:ascii="仿宋" w:hAnsi="仿宋" w:eastAsia="仿宋"/>
          <w:sz w:val="24"/>
        </w:rPr>
      </w:pPr>
      <w:r>
        <w:rPr>
          <w:rFonts w:hint="eastAsia" w:ascii="仿宋" w:hAnsi="仿宋" w:eastAsia="仿宋"/>
          <w:sz w:val="24"/>
        </w:rPr>
        <w:t>5、验收合格之日起，产品质保期为</w:t>
      </w:r>
      <w:r>
        <w:rPr>
          <w:rFonts w:ascii="仿宋" w:hAnsi="仿宋" w:eastAsia="仿宋"/>
          <w:sz w:val="24"/>
        </w:rPr>
        <w:t>1</w:t>
      </w:r>
      <w:r>
        <w:rPr>
          <w:rFonts w:hint="eastAsia" w:ascii="仿宋" w:hAnsi="仿宋" w:eastAsia="仿宋"/>
          <w:sz w:val="24"/>
        </w:rPr>
        <w:t>年。</w:t>
      </w:r>
    </w:p>
    <w:p>
      <w:pPr>
        <w:widowControl/>
        <w:spacing w:line="360" w:lineRule="auto"/>
        <w:jc w:val="left"/>
        <w:rPr>
          <w:rFonts w:ascii="仿宋" w:hAnsi="仿宋" w:eastAsia="仿宋"/>
          <w:b/>
          <w:sz w:val="24"/>
        </w:rPr>
      </w:pPr>
      <w:r>
        <w:rPr>
          <w:rFonts w:hint="eastAsia" w:ascii="仿宋" w:hAnsi="仿宋" w:eastAsia="仿宋"/>
          <w:b/>
          <w:sz w:val="24"/>
        </w:rPr>
        <w:t>三、打印耗材类产品清单</w:t>
      </w:r>
    </w:p>
    <w:tbl>
      <w:tblPr>
        <w:tblStyle w:val="11"/>
        <w:tblW w:w="5000" w:type="pct"/>
        <w:jc w:val="center"/>
        <w:tblLayout w:type="autofit"/>
        <w:tblCellMar>
          <w:top w:w="0" w:type="dxa"/>
          <w:left w:w="108" w:type="dxa"/>
          <w:bottom w:w="0" w:type="dxa"/>
          <w:right w:w="108" w:type="dxa"/>
        </w:tblCellMar>
      </w:tblPr>
      <w:tblGrid>
        <w:gridCol w:w="638"/>
        <w:gridCol w:w="1170"/>
        <w:gridCol w:w="1576"/>
        <w:gridCol w:w="1886"/>
        <w:gridCol w:w="779"/>
        <w:gridCol w:w="992"/>
        <w:gridCol w:w="1481"/>
      </w:tblGrid>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70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物资名称</w:t>
            </w:r>
          </w:p>
        </w:tc>
        <w:tc>
          <w:tcPr>
            <w:tcW w:w="943"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规格</w:t>
            </w:r>
          </w:p>
        </w:tc>
        <w:tc>
          <w:tcPr>
            <w:tcW w:w="112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型号</w:t>
            </w:r>
          </w:p>
        </w:tc>
        <w:tc>
          <w:tcPr>
            <w:tcW w:w="475"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品牌</w:t>
            </w:r>
          </w:p>
        </w:tc>
        <w:tc>
          <w:tcPr>
            <w:tcW w:w="60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单位</w:t>
            </w:r>
          </w:p>
        </w:tc>
        <w:tc>
          <w:tcPr>
            <w:tcW w:w="79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预算单价</w:t>
            </w:r>
          </w:p>
          <w:p>
            <w:pPr>
              <w:widowControl/>
              <w:jc w:val="center"/>
              <w:rPr>
                <w:rFonts w:ascii="仿宋" w:hAnsi="仿宋" w:eastAsia="仿宋" w:cs="宋体"/>
                <w:b/>
                <w:bCs/>
                <w:kern w:val="0"/>
                <w:szCs w:val="21"/>
              </w:rPr>
            </w:pPr>
            <w:r>
              <w:rPr>
                <w:rFonts w:hint="eastAsia" w:ascii="仿宋" w:hAnsi="仿宋" w:eastAsia="仿宋" w:cs="宋体"/>
                <w:b/>
                <w:bCs/>
                <w:kern w:val="0"/>
                <w:szCs w:val="21"/>
              </w:rPr>
              <w:t>（人民币元）</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U盘</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32G</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金士顿</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U盘</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64G</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金士顿</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U盘</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128G</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金士顿</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155.00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成像部件</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CS310</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1950.00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成像鼓</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黑色</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CF232A</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725.00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成像鼓</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CF219A</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打印机共享器</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1托2</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电子</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迈拓</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打印机共享器</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1托4</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电子</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迈拓</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打印机线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1.5m</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铭道</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打印机线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3m</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铭道</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废粉盒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WT-220CL</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废粉盒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C540X75G</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废粉盒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CS310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废粉盒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CP3525n</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分线器</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USB一拖四 白色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Y-2146WH</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优越者</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光纤线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光纤线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键盘</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双飞燕</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键盘</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双飞燕</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键盘</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圆口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双飞燕</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键鼠套装</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无线 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MK270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罗技</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理光500专用版纸</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type500</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理光</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理光500专用油墨</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type500 黑色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理光</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LT2451H</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联想</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816</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183.00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817</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r>
              <w:rPr>
                <w:rFonts w:ascii="仿宋" w:hAnsi="仿宋" w:eastAsia="仿宋" w:cs="宋体"/>
                <w:kern w:val="0"/>
                <w:szCs w:val="21"/>
              </w:rPr>
              <w:t>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175.00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r>
              <w:rPr>
                <w:rFonts w:ascii="仿宋" w:hAnsi="仿宋" w:eastAsia="仿宋" w:cs="宋体"/>
                <w:kern w:val="0"/>
                <w:szCs w:val="21"/>
              </w:rPr>
              <w:t>60</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155.00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38</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 高容</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32</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269.00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39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 高容</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32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 高容</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33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 高容</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33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297.00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815B</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816C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820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49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821 BK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821 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821 M</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821 Y</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850（BK）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851(BK)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851（C）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851（M）</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851（Y）</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851PGBK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59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LC990BK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LC990C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70.00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LC990M</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LC990Y</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C672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M672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Y672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BK672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955XL</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955XL</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69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955XL</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70</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黑色</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955XL</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71</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810 黑</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811彩</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935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935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934</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935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ERC-09</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79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Tze-231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Tze-431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Tze-631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Tze-731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Tze-741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DS-80D-8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国产</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80D-3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进口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80D-3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TZE-251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TZE-451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89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PR-04PR-09</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760F</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OKI</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750KII</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大正</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136KW</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15337</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1600K3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670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37.00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680K2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690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7753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99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S015290</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LQ-630K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视频线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DVI线 3米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鼠标</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双飞燕</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鼠标</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双飞燕</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103</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鼠标</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无线 M185</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罗技</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79.00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104</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鼠标</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圆口</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双飞燕</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水晶头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6类非屏蔽</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乐普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水晶头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6类屏蔽</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乐普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GX430t</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109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碳粉盒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TH833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富可视</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安普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6类 3米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14.50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6类 15米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6类5米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2m</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W2081A（118）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W2082A（118）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DR-281CL</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126A（CE311A）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119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126A（CE312A）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126A（CE313A）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551.00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2612A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278A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436</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129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505A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540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541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430.00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542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440.00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543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435.00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CC530A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770.00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136</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CC532A</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728.00 </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137</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CE250A</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CE251A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139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CE252A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CE253A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CE270A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CE320A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CE321A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CE322A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475.00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CE323A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475.00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CE410A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514.00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CE411A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CE412A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149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CE413A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CE740A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CE741A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CE742A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CE743A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1650.00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MP6054C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理光</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2020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联想</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558.00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2241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联想</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TN-2125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159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2612A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天腾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73.80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天腾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73.80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505A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天腾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101.00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441.00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318C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318K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820.00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318M</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819.00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169</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318Y</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819.00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170</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331</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912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445.00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925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FX9 (fax-L140g)</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佳能</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TN-2050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3450</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DL-DR-3450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179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CE340A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CE341A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CE342A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CE343A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CF230A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CF218A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378.00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CF502A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CF503A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CF501A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CF500A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189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D833</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富可视</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365.00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CF510A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345.00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CF511A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CF512A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粉</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CF513A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LD2451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联想</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199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CF277A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CF228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CF247A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202</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W2043A（416）</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670.00 </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203</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W2042A（416）</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660.00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W2080A（118）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275.00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LT401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联想</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499.00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CF400（201）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CF401（201）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CF403（201）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209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W2083A（118）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W2040A（416）</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CF402（201）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W2041A（416）</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CTL-2000Y</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CTL-2000M</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CTL-2000K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418.00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CTL-2000C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W9221MC</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910.00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W9222MC</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910.00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219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W9223MC</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910.00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W9220MC</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510.00 </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TN-2115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3435</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DL-TN-3435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CF350A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CF351A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395.00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CF352A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395.00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CF353A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395.00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126A(CE310A)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黄色 碳粉盒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CE272A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229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红色 碳粉盒</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CE273A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2523.00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2225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国产</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方正</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708k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405.00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E260 11P</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利盟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TN-281-BK</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305.00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235</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TN-285-C</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465.00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236</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TN-285-M</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硒鼓粉</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TN-285-Y</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硒鼓架</w:t>
            </w:r>
          </w:p>
        </w:tc>
        <w:tc>
          <w:tcPr>
            <w:tcW w:w="943"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239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延长线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USB2.0</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延长线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USB 3米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铭道</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转换头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圆口转usb</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普通</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转接线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36针并口转U口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转接线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HDMI转VGA</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铭道</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打印机线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U口 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连讯</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打印机线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DB36并口线</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废粉仓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CWT2000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分线器</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FJ-2UA</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光纤线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249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 70ml</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GT52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青 70ml</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GT52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 135ml</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GT53XL</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墨水</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品红 70ml</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GT52</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HP</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国产</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ERC28</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封口机色带 EF309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30mm</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荧光黄底黑字</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Tze-C31</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兄弟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LQ-300KH</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 六类非屏蔽</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康普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785.00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259</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6类10米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延长线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USB 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14.20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墨盒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805</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CTL1150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CTL1150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CTL1150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512.00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硒鼓</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CTL1150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奔图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转换线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UGA转U口</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转接线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Mini DP转HDMI/VGA 黑色</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268</w:t>
            </w:r>
          </w:p>
        </w:tc>
        <w:tc>
          <w:tcPr>
            <w:tcW w:w="70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转接线</w:t>
            </w:r>
          </w:p>
        </w:tc>
        <w:tc>
          <w:tcPr>
            <w:tcW w:w="94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25针并口转U口</w:t>
            </w:r>
          </w:p>
        </w:tc>
        <w:tc>
          <w:tcPr>
            <w:tcW w:w="11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47.00</w:t>
            </w:r>
          </w:p>
        </w:tc>
      </w:tr>
      <w:tr>
        <w:tblPrEx>
          <w:tblCellMar>
            <w:top w:w="0" w:type="dxa"/>
            <w:left w:w="108" w:type="dxa"/>
            <w:bottom w:w="0" w:type="dxa"/>
            <w:right w:w="108" w:type="dxa"/>
          </w:tblCellMar>
        </w:tblPrEx>
        <w:trPr>
          <w:trHeight w:val="402" w:hRule="atLeast"/>
          <w:jc w:val="center"/>
        </w:trPr>
        <w:tc>
          <w:tcPr>
            <w:tcW w:w="35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269</w:t>
            </w:r>
          </w:p>
        </w:tc>
        <w:tc>
          <w:tcPr>
            <w:tcW w:w="70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转接线</w:t>
            </w:r>
          </w:p>
        </w:tc>
        <w:tc>
          <w:tcPr>
            <w:tcW w:w="94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DP多功能转换器 黑色</w:t>
            </w:r>
          </w:p>
        </w:tc>
        <w:tc>
          <w:tcPr>
            <w:tcW w:w="112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绿联</w:t>
            </w:r>
          </w:p>
        </w:tc>
        <w:tc>
          <w:tcPr>
            <w:tcW w:w="60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270</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转接线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usb转DB9针串口线 0.8m</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271</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视频线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4孔5米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272</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视频线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VGA线 3米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26.00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273</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视频线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VGA线 10米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复韵达</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274</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音频线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3.5mm 公转母一分二</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275</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数据线</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AV 3米</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276</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打码带</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30mm*100m</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热打码带</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277</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碳粉盒</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W9005MC</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惠普</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810.00</w:t>
            </w:r>
          </w:p>
        </w:tc>
      </w:tr>
      <w:tr>
        <w:tblPrEx>
          <w:tblCellMar>
            <w:top w:w="0" w:type="dxa"/>
            <w:left w:w="108" w:type="dxa"/>
            <w:bottom w:w="0" w:type="dxa"/>
            <w:right w:w="108" w:type="dxa"/>
          </w:tblCellMar>
        </w:tblPrEx>
        <w:trPr>
          <w:trHeight w:val="402" w:hRule="atLeast"/>
          <w:jc w:val="center"/>
        </w:trPr>
        <w:tc>
          <w:tcPr>
            <w:tcW w:w="35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Cs w:val="21"/>
              </w:rPr>
            </w:pPr>
            <w:r>
              <w:rPr>
                <w:rFonts w:hint="eastAsia" w:ascii="仿宋" w:hAnsi="仿宋" w:eastAsia="仿宋" w:cs="宋体"/>
                <w:kern w:val="0"/>
                <w:szCs w:val="21"/>
              </w:rPr>
              <w:t>278</w:t>
            </w:r>
          </w:p>
        </w:tc>
        <w:tc>
          <w:tcPr>
            <w:tcW w:w="70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色带架</w:t>
            </w:r>
          </w:p>
        </w:tc>
        <w:tc>
          <w:tcPr>
            <w:tcW w:w="943"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12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630 SO15290</w:t>
            </w:r>
          </w:p>
        </w:tc>
        <w:tc>
          <w:tcPr>
            <w:tcW w:w="475"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爱普生</w:t>
            </w:r>
          </w:p>
        </w:tc>
        <w:tc>
          <w:tcPr>
            <w:tcW w:w="60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9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37.00</w:t>
            </w:r>
          </w:p>
        </w:tc>
      </w:tr>
    </w:tbl>
    <w:p>
      <w:pPr>
        <w:widowControl/>
        <w:spacing w:line="360" w:lineRule="auto"/>
        <w:jc w:val="left"/>
        <w:rPr>
          <w:rFonts w:ascii="仿宋" w:hAnsi="仿宋" w:eastAsia="仿宋" w:cs="仿宋"/>
          <w:sz w:val="24"/>
        </w:rPr>
      </w:pPr>
      <w:r>
        <w:rPr>
          <w:rFonts w:hint="eastAsia" w:ascii="仿宋_GB2312" w:hAnsi="仿宋_GB2312" w:eastAsia="仿宋_GB2312" w:cs="仿宋_GB2312"/>
          <w:sz w:val="24"/>
        </w:rPr>
        <w:t>注：本项目投标报价为上述所有物资单价的总和，且投标人所报产品单价</w:t>
      </w:r>
      <w:r>
        <w:rPr>
          <w:rFonts w:hint="eastAsia" w:ascii="仿宋_GB2312" w:hAnsi="仿宋_GB2312" w:eastAsia="仿宋_GB2312" w:cs="仿宋_GB2312"/>
          <w:b/>
          <w:sz w:val="24"/>
        </w:rPr>
        <w:t>不能超过</w:t>
      </w:r>
      <w:r>
        <w:rPr>
          <w:rFonts w:hint="eastAsia" w:ascii="仿宋_GB2312" w:hAnsi="仿宋_GB2312" w:eastAsia="仿宋_GB2312" w:cs="仿宋_GB2312"/>
          <w:sz w:val="24"/>
        </w:rPr>
        <w:t>上述预算单价金额，</w:t>
      </w:r>
      <w:r>
        <w:rPr>
          <w:rFonts w:hint="eastAsia" w:ascii="仿宋_GB2312" w:hAnsi="仿宋_GB2312" w:eastAsia="仿宋_GB2312" w:cs="仿宋_GB2312"/>
          <w:b/>
          <w:sz w:val="24"/>
        </w:rPr>
        <w:t>否则按废标处理</w:t>
      </w:r>
      <w:r>
        <w:rPr>
          <w:rFonts w:hint="eastAsia" w:ascii="仿宋_GB2312" w:hAnsi="仿宋_GB2312" w:eastAsia="仿宋_GB2312" w:cs="仿宋_GB2312"/>
          <w:sz w:val="24"/>
        </w:rPr>
        <w:t>。</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4B7E2B6C"/>
    <w:rsid w:val="5D9D153B"/>
    <w:rsid w:val="5FB43776"/>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tabs>
        <w:tab w:val="right" w:leader="dot" w:pos="8937"/>
      </w:tabs>
      <w:spacing w:line="312" w:lineRule="auto"/>
      <w:ind w:left="420" w:leftChars="200"/>
    </w:p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character" w:styleId="14">
    <w:name w:val="annotation reference"/>
    <w:qFormat/>
    <w:uiPriority w:val="99"/>
    <w:rPr>
      <w:sz w:val="21"/>
      <w:szCs w:val="21"/>
    </w:rPr>
  </w:style>
  <w:style w:type="paragraph" w:customStyle="1" w:styleId="15">
    <w:name w:val="SOW正文"/>
    <w:basedOn w:val="1"/>
    <w:qFormat/>
    <w:uiPriority w:val="0"/>
    <w:pPr>
      <w:snapToGrid w:val="0"/>
      <w:spacing w:before="120" w:line="400" w:lineRule="exact"/>
      <w:ind w:firstLine="425"/>
    </w:pPr>
    <w:rPr>
      <w:rFonts w:ascii="Times New Roman" w:hAnsi="Times New Roman"/>
      <w:sz w:val="24"/>
      <w:szCs w:val="20"/>
    </w:rPr>
  </w:style>
  <w:style w:type="paragraph" w:styleId="16">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2024-08-14T07:09:40Z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