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WOGLQL+·ÂËÎ_GB2312"/>
          <w:color w:val="000000"/>
          <w:sz w:val="28"/>
          <w:lang w:eastAsia="zh-CN"/>
        </w:rPr>
      </w:pPr>
      <w:r>
        <w:rPr>
          <w:rFonts w:ascii="仿宋" w:eastAsia="仿宋" w:hAnsi="仿宋" w:cs="WOGLQL+·ÂËÎ_GB2312" w:hint="eastAsia"/>
          <w:color w:val="000000"/>
          <w:sz w:val="28"/>
          <w:lang w:eastAsia="zh-CN"/>
        </w:rPr>
        <w:t>附件1：</w:t>
      </w:r>
    </w:p>
    <w:p w:rsidR="00D938D3" w:rsidRPr="009F4D00" w:rsidRDefault="00D938D3" w:rsidP="00D938D3">
      <w:pPr>
        <w:widowControl w:val="0"/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WOGLQL+·ÂËÎ_GB2312"/>
          <w:color w:val="FF0000"/>
          <w:sz w:val="28"/>
          <w:lang w:eastAsia="zh-CN"/>
        </w:rPr>
      </w:pPr>
      <w:r w:rsidRPr="009F4D00">
        <w:rPr>
          <w:rFonts w:ascii="仿宋" w:eastAsia="仿宋" w:hAnsi="仿宋" w:cs="GJMGVD+»ªÎÄÖÐËÎ" w:hint="eastAsia"/>
          <w:color w:val="000000"/>
          <w:sz w:val="30"/>
          <w:lang w:eastAsia="zh-CN"/>
        </w:rPr>
        <w:t>《儿科常见疾病诊疗检验技术新进展》培训会日程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134"/>
        <w:gridCol w:w="708"/>
        <w:gridCol w:w="1389"/>
      </w:tblGrid>
      <w:tr w:rsidR="00D938D3" w:rsidRPr="009F4D00" w:rsidTr="00543FE7">
        <w:trPr>
          <w:trHeight w:val="561"/>
          <w:jc w:val="center"/>
        </w:trPr>
        <w:tc>
          <w:tcPr>
            <w:tcW w:w="3397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b/>
                <w:bCs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b/>
                <w:bCs/>
                <w:kern w:val="2"/>
                <w:sz w:val="21"/>
                <w:lang w:eastAsia="zh-CN"/>
              </w:rPr>
              <w:t>讲授题目</w:t>
            </w:r>
          </w:p>
        </w:tc>
        <w:tc>
          <w:tcPr>
            <w:tcW w:w="3261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b/>
                <w:bCs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b/>
                <w:bCs/>
                <w:kern w:val="2"/>
                <w:sz w:val="21"/>
                <w:lang w:eastAsia="zh-CN"/>
              </w:rPr>
              <w:t>内容</w:t>
            </w:r>
          </w:p>
        </w:tc>
        <w:tc>
          <w:tcPr>
            <w:tcW w:w="1134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b/>
                <w:bCs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b/>
                <w:bCs/>
                <w:kern w:val="2"/>
                <w:sz w:val="21"/>
                <w:lang w:eastAsia="zh-CN"/>
              </w:rPr>
              <w:t>授课教师</w:t>
            </w:r>
          </w:p>
        </w:tc>
        <w:tc>
          <w:tcPr>
            <w:tcW w:w="708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b/>
                <w:bCs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b/>
                <w:bCs/>
                <w:kern w:val="2"/>
                <w:sz w:val="21"/>
                <w:lang w:eastAsia="zh-CN"/>
              </w:rPr>
              <w:t>学时</w:t>
            </w:r>
          </w:p>
        </w:tc>
        <w:tc>
          <w:tcPr>
            <w:tcW w:w="1389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b/>
                <w:bCs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b/>
                <w:bCs/>
                <w:kern w:val="2"/>
                <w:sz w:val="21"/>
                <w:lang w:eastAsia="zh-CN"/>
              </w:rPr>
              <w:t>时间</w:t>
            </w:r>
          </w:p>
        </w:tc>
      </w:tr>
      <w:tr w:rsidR="00D938D3" w:rsidRPr="009F4D00" w:rsidTr="00543FE7">
        <w:trPr>
          <w:trHeight w:val="556"/>
          <w:jc w:val="center"/>
        </w:trPr>
        <w:tc>
          <w:tcPr>
            <w:tcW w:w="9889" w:type="dxa"/>
            <w:gridSpan w:val="5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highlight w:val="yellow"/>
                <w:lang w:eastAsia="zh-CN"/>
              </w:rPr>
            </w:pPr>
            <w:r w:rsidRPr="002A2B4F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2020年11月</w:t>
            </w:r>
            <w:r w:rsidRPr="002A2B4F">
              <w:rPr>
                <w:rFonts w:ascii="仿宋" w:eastAsia="仿宋" w:hAnsi="仿宋" w:cs="仿宋_GB2312"/>
                <w:kern w:val="2"/>
                <w:sz w:val="24"/>
                <w:lang w:eastAsia="zh-CN"/>
              </w:rPr>
              <w:t>13</w:t>
            </w:r>
            <w:r w:rsidRPr="002A2B4F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日上午</w:t>
            </w:r>
          </w:p>
        </w:tc>
      </w:tr>
      <w:tr w:rsidR="00D938D3" w:rsidRPr="009F4D00" w:rsidTr="00543FE7">
        <w:trPr>
          <w:trHeight w:val="556"/>
          <w:jc w:val="center"/>
        </w:trPr>
        <w:tc>
          <w:tcPr>
            <w:tcW w:w="3397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 w:cs="仿宋_GB2312"/>
                <w:kern w:val="2"/>
                <w:sz w:val="24"/>
                <w:lang w:eastAsia="zh-CN"/>
              </w:rPr>
            </w:pPr>
            <w:r w:rsidRPr="009F4D00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会议开场</w:t>
            </w:r>
          </w:p>
        </w:tc>
        <w:tc>
          <w:tcPr>
            <w:tcW w:w="3261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 w:cs="仿宋_GB2312"/>
                <w:kern w:val="2"/>
                <w:sz w:val="24"/>
                <w:lang w:eastAsia="zh-CN"/>
              </w:rPr>
            </w:pPr>
            <w:r w:rsidRPr="009F4D00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致辞</w:t>
            </w:r>
          </w:p>
        </w:tc>
        <w:tc>
          <w:tcPr>
            <w:tcW w:w="1134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 w:cs="仿宋_GB2312"/>
                <w:kern w:val="2"/>
                <w:sz w:val="24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领导</w:t>
            </w:r>
          </w:p>
        </w:tc>
        <w:tc>
          <w:tcPr>
            <w:tcW w:w="708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 w:cs="仿宋_GB2312"/>
                <w:kern w:val="2"/>
                <w:sz w:val="24"/>
                <w:lang w:eastAsia="zh-CN"/>
              </w:rPr>
            </w:pPr>
          </w:p>
        </w:tc>
        <w:tc>
          <w:tcPr>
            <w:tcW w:w="1389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 w:cs="仿宋_GB2312"/>
                <w:kern w:val="2"/>
                <w:sz w:val="24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08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20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08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:3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儿童参考区间制定的关键技术与解决方案》</w:t>
            </w:r>
          </w:p>
        </w:tc>
        <w:tc>
          <w:tcPr>
            <w:tcW w:w="3261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正常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生物参考区间的制定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以及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常见问题的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解决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和规范流程</w:t>
            </w:r>
          </w:p>
        </w:tc>
        <w:tc>
          <w:tcPr>
            <w:tcW w:w="1134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宋文琪</w:t>
            </w:r>
          </w:p>
        </w:tc>
        <w:tc>
          <w:tcPr>
            <w:tcW w:w="708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8: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-0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9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</w:t>
            </w:r>
            <w:r w:rsidRPr="00CD08F9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儿童外周血及骨髓细胞形态学检验及临床应用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》</w:t>
            </w:r>
          </w:p>
        </w:tc>
        <w:tc>
          <w:tcPr>
            <w:tcW w:w="3261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儿童外周血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血细胞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及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骨髓细胞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形态学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的镜下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形态诊断及临床相关疾病的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诊疗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价值</w:t>
            </w:r>
          </w:p>
        </w:tc>
        <w:tc>
          <w:tcPr>
            <w:tcW w:w="1134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proofErr w:type="gramStart"/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戴淑芝</w:t>
            </w:r>
            <w:proofErr w:type="gramEnd"/>
          </w:p>
        </w:tc>
        <w:tc>
          <w:tcPr>
            <w:tcW w:w="708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09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</w:t>
            </w:r>
            <w:r w:rsidRPr="002A2B4F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激素类检验项目在儿童常见内分泌疾病中的临床应用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》</w:t>
            </w:r>
          </w:p>
        </w:tc>
        <w:tc>
          <w:tcPr>
            <w:tcW w:w="3261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0033B4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儿童生长发育过程中性腺轴的激素调节机制，以及儿童常见内分泌疾病的激素检验协助诊治应用</w:t>
            </w:r>
          </w:p>
        </w:tc>
        <w:tc>
          <w:tcPr>
            <w:tcW w:w="1134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E1151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陈晓波</w:t>
            </w:r>
          </w:p>
        </w:tc>
        <w:tc>
          <w:tcPr>
            <w:tcW w:w="708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11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问题讨论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11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12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20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2A2B4F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2020年11月</w:t>
            </w:r>
            <w:r w:rsidRPr="002A2B4F">
              <w:rPr>
                <w:rFonts w:ascii="仿宋" w:eastAsia="仿宋" w:hAnsi="仿宋" w:cs="仿宋_GB2312"/>
                <w:kern w:val="2"/>
                <w:sz w:val="24"/>
                <w:lang w:eastAsia="zh-CN"/>
              </w:rPr>
              <w:t>13</w:t>
            </w:r>
            <w:r w:rsidRPr="002A2B4F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日下午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《常见儿童呼吸道病毒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感染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实验室检测技术进展》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呼吸道感染常见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病毒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病原微生物的常规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检测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方法和快速检测方法的临床应用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赵林清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13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14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</w:t>
            </w:r>
            <w:r w:rsidRPr="00DA1E33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CMIA方法筛查抗梅毒特异性抗体结果的解读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654825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正确解读儿童中化学发光微粒子免疫分析法（CMIA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）筛查检测抗梅毒螺旋体特异性抗体</w:t>
            </w:r>
            <w:r w:rsidRPr="00654825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结果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宋秦伟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14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15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《儿童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肠道病原微生物感染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相关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检测新技术应用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儿童常见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的肠道病原微生物感染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，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以及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相关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检测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的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新技术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和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临床应用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价值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周林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15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16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问题讨论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16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17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20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2A2B4F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2020年11月</w:t>
            </w:r>
            <w:r w:rsidRPr="002A2B4F">
              <w:rPr>
                <w:rFonts w:ascii="仿宋" w:eastAsia="仿宋" w:hAnsi="仿宋" w:cs="仿宋_GB2312"/>
                <w:kern w:val="2"/>
                <w:sz w:val="24"/>
                <w:lang w:eastAsia="zh-CN"/>
              </w:rPr>
              <w:t>14</w:t>
            </w:r>
            <w:r w:rsidRPr="002A2B4F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日上午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AF3E89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《儿童肾脏疾病诊疗检验诊断应用》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儿童肾脏疾病的临床检测新方法的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常规应用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李海霞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08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09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</w:t>
            </w:r>
            <w:r w:rsidRPr="00DA1E33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儿童血流感染相关病原微生物特征及检测技术进展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儿童常见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血</w:t>
            </w:r>
            <w:proofErr w:type="gramStart"/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流感染</w:t>
            </w:r>
            <w:proofErr w:type="gramEnd"/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相关病原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微生物感染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特征，以及相关检测技术新进展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李静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09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CD08F9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《尿液检验最佳分析模式及影响因素》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尿液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检测常规检验模式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在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临床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诊疗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的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应用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和尿液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检验质控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的经验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分享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刘伟杰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11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lastRenderedPageBreak/>
              <w:t>问题讨论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11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12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20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2C2F25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2020年11月</w:t>
            </w:r>
            <w:r w:rsidRPr="002C2F25">
              <w:rPr>
                <w:rFonts w:ascii="仿宋" w:eastAsia="仿宋" w:hAnsi="仿宋" w:cs="仿宋_GB2312"/>
                <w:kern w:val="2"/>
                <w:sz w:val="24"/>
                <w:lang w:eastAsia="zh-CN"/>
              </w:rPr>
              <w:t>14</w:t>
            </w:r>
            <w:r w:rsidRPr="002C2F25">
              <w:rPr>
                <w:rFonts w:ascii="仿宋" w:eastAsia="仿宋" w:hAnsi="仿宋" w:cs="仿宋_GB2312" w:hint="eastAsia"/>
                <w:kern w:val="2"/>
                <w:sz w:val="24"/>
                <w:lang w:eastAsia="zh-CN"/>
              </w:rPr>
              <w:t>日下午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</w:t>
            </w:r>
            <w:r w:rsidRPr="002C2F25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儿童肺炎支原体呼吸道感染的实验室诊断与专家共识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儿童肺炎支原体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呼吸道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感染病原学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实验室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诊断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的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方法、流程、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优化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选择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方案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孙红妹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13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14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30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color w:val="FF0000"/>
                <w:kern w:val="2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细胞因子检测在儿童噬血细胞综合征中的应用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color w:val="FF0000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细胞因子检测在儿童</w:t>
            </w:r>
            <w:proofErr w:type="gramStart"/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噬</w:t>
            </w:r>
            <w:proofErr w:type="gramEnd"/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血细胞综合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征早期诊断及鉴别诊断的参考价值，以及在疾病发展过程中的变化规律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color w:val="FF0000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李晶晶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14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15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40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《心肌损伤标志物在儿科心肌损伤性疾病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及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新冠病毒感染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诊治中的应用》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心肌损伤标志物的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生物学特征及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在儿科心肌损伤性疾病</w:t>
            </w:r>
            <w:r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和</w:t>
            </w:r>
            <w:r>
              <w:rPr>
                <w:rFonts w:ascii="仿宋" w:eastAsia="仿宋" w:hAnsi="仿宋"/>
                <w:kern w:val="2"/>
                <w:sz w:val="21"/>
                <w:lang w:eastAsia="zh-CN"/>
              </w:rPr>
              <w:t>新冠肺炎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诊断和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鉴别诊断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中的临床应用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马丽娟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15:50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-16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:50</w:t>
            </w:r>
          </w:p>
        </w:tc>
      </w:tr>
      <w:tr w:rsidR="00D938D3" w:rsidRPr="009F4D00" w:rsidTr="00543FE7">
        <w:trPr>
          <w:trHeight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讨论总结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3" w:rsidRPr="009F4D00" w:rsidRDefault="00D938D3" w:rsidP="00543FE7">
            <w:pPr>
              <w:widowControl w:val="0"/>
              <w:spacing w:before="0" w:after="0"/>
              <w:jc w:val="center"/>
              <w:rPr>
                <w:rFonts w:ascii="仿宋" w:eastAsia="仿宋" w:hAnsi="仿宋"/>
                <w:kern w:val="2"/>
                <w:sz w:val="21"/>
                <w:lang w:eastAsia="zh-CN"/>
              </w:rPr>
            </w:pP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16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50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-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17</w:t>
            </w:r>
            <w:r w:rsidRPr="009F4D00">
              <w:rPr>
                <w:rFonts w:ascii="仿宋" w:eastAsia="仿宋" w:hAnsi="仿宋" w:hint="eastAsia"/>
                <w:kern w:val="2"/>
                <w:sz w:val="21"/>
                <w:lang w:eastAsia="zh-CN"/>
              </w:rPr>
              <w:t>:</w:t>
            </w:r>
            <w:r w:rsidRPr="009F4D00">
              <w:rPr>
                <w:rFonts w:ascii="仿宋" w:eastAsia="仿宋" w:hAnsi="仿宋"/>
                <w:kern w:val="2"/>
                <w:sz w:val="21"/>
                <w:lang w:eastAsia="zh-CN"/>
              </w:rPr>
              <w:t>20</w:t>
            </w:r>
          </w:p>
        </w:tc>
      </w:tr>
    </w:tbl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D938D3" w:rsidRDefault="00D938D3" w:rsidP="00D938D3">
      <w:pPr>
        <w:widowControl w:val="0"/>
        <w:autoSpaceDE w:val="0"/>
        <w:autoSpaceDN w:val="0"/>
        <w:adjustRightInd w:val="0"/>
        <w:spacing w:before="0" w:after="0" w:line="341" w:lineRule="exact"/>
        <w:jc w:val="left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sectPr w:rsidR="00D9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OGLQL+·ÂËÎ_GB2312">
    <w:altName w:val="微软雅黑"/>
    <w:charset w:val="00"/>
    <w:family w:val="modern"/>
    <w:pitch w:val="default"/>
    <w:sig w:usb0="01010101" w:usb1="01010101" w:usb2="00000000" w:usb3="00000000" w:csb0="00040000" w:csb1="00000000"/>
  </w:font>
  <w:font w:name="GJMGVD+»ªÎÄÖÐËÎ">
    <w:altName w:val="微软雅黑"/>
    <w:charset w:val="00"/>
    <w:family w:val="auto"/>
    <w:pitch w:val="default"/>
    <w:sig w:usb0="01010101" w:usb1="01010101" w:usb2="00000000" w:usb3="00000000" w:csb0="0004009F" w:csb1="DFD7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51BC5"/>
    <w:multiLevelType w:val="hybridMultilevel"/>
    <w:tmpl w:val="89C8499A"/>
    <w:lvl w:ilvl="0" w:tplc="882A3A80">
      <w:start w:val="2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D3"/>
    <w:rsid w:val="00042BA8"/>
    <w:rsid w:val="00061BA0"/>
    <w:rsid w:val="003F5E40"/>
    <w:rsid w:val="00543FE7"/>
    <w:rsid w:val="00755133"/>
    <w:rsid w:val="00816A35"/>
    <w:rsid w:val="00A42D0A"/>
    <w:rsid w:val="00B608DC"/>
    <w:rsid w:val="00D938D3"/>
    <w:rsid w:val="00E0096A"/>
    <w:rsid w:val="00E5130E"/>
    <w:rsid w:val="00E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8EC3-54E0-4449-A1F2-8C0F0C55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D3"/>
    <w:pPr>
      <w:spacing w:before="120" w:after="240"/>
      <w:jc w:val="both"/>
    </w:pPr>
    <w:rPr>
      <w:rFonts w:ascii="Calibri" w:eastAsia="DengXian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D3"/>
    <w:pPr>
      <w:ind w:firstLineChars="200" w:firstLine="420"/>
    </w:pPr>
  </w:style>
  <w:style w:type="table" w:styleId="a4">
    <w:name w:val="Table Grid"/>
    <w:basedOn w:val="a1"/>
    <w:uiPriority w:val="39"/>
    <w:rsid w:val="00D938D3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邱爽</dc:creator>
  <cp:keywords/>
  <dc:description/>
  <cp:lastModifiedBy>邱爽</cp:lastModifiedBy>
  <cp:revision>1</cp:revision>
  <dcterms:created xsi:type="dcterms:W3CDTF">2020-10-28T08:15:00Z</dcterms:created>
  <dcterms:modified xsi:type="dcterms:W3CDTF">2020-10-28T08:22:00Z</dcterms:modified>
</cp:coreProperties>
</file>